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F130" w14:textId="77777777" w:rsidR="007477D1" w:rsidRPr="007E6864" w:rsidRDefault="007477D1" w:rsidP="007477D1">
      <w:pPr>
        <w:jc w:val="center"/>
        <w:rPr>
          <w:rFonts w:ascii="Century Schoolbook" w:hAnsi="Century Schoolbook"/>
          <w:b/>
          <w:sz w:val="24"/>
          <w:szCs w:val="24"/>
        </w:rPr>
      </w:pPr>
      <w:r w:rsidRPr="007E6864">
        <w:rPr>
          <w:rFonts w:ascii="Century Schoolbook" w:hAnsi="Century Schoolbook"/>
          <w:b/>
          <w:sz w:val="24"/>
          <w:szCs w:val="24"/>
        </w:rPr>
        <w:t>IX Encuentro Nacional de Estudiantes de Doctorado de Psicología</w:t>
      </w:r>
    </w:p>
    <w:p w14:paraId="10A585FF" w14:textId="77777777" w:rsidR="007477D1" w:rsidRPr="007E6864" w:rsidRDefault="007477D1" w:rsidP="007477D1">
      <w:pPr>
        <w:jc w:val="center"/>
        <w:rPr>
          <w:rFonts w:ascii="Century Schoolbook" w:hAnsi="Century Schoolbook"/>
        </w:rPr>
      </w:pPr>
      <w:r w:rsidRPr="007E6864">
        <w:rPr>
          <w:rFonts w:ascii="Century Schoolbook" w:hAnsi="Century Schoolbook"/>
        </w:rPr>
        <w:t xml:space="preserve">Miércoles 1, </w:t>
      </w:r>
      <w:proofErr w:type="gramStart"/>
      <w:r w:rsidRPr="007E6864">
        <w:rPr>
          <w:rFonts w:ascii="Century Schoolbook" w:hAnsi="Century Schoolbook"/>
        </w:rPr>
        <w:t>Jueves</w:t>
      </w:r>
      <w:proofErr w:type="gramEnd"/>
      <w:r w:rsidRPr="007E6864">
        <w:rPr>
          <w:rFonts w:ascii="Century Schoolbook" w:hAnsi="Century Schoolbook"/>
        </w:rPr>
        <w:t xml:space="preserve"> 2 y Viernes 3 de diciembre de 2021</w:t>
      </w:r>
    </w:p>
    <w:p w14:paraId="39124D05" w14:textId="77777777" w:rsidR="007477D1" w:rsidRPr="007477D1" w:rsidRDefault="007477D1" w:rsidP="007477D1">
      <w:pPr>
        <w:rPr>
          <w:b/>
        </w:rPr>
      </w:pPr>
    </w:p>
    <w:p w14:paraId="0E219A4D" w14:textId="77777777" w:rsidR="007477D1" w:rsidRPr="007E6864" w:rsidRDefault="007477D1" w:rsidP="007477D1">
      <w:pPr>
        <w:jc w:val="center"/>
        <w:rPr>
          <w:rFonts w:ascii="Century Schoolbook" w:hAnsi="Century Schoolbook"/>
          <w:b/>
        </w:rPr>
      </w:pPr>
      <w:r w:rsidRPr="007E6864">
        <w:rPr>
          <w:rFonts w:ascii="Century Schoolbook" w:hAnsi="Century Schoolbook"/>
          <w:b/>
        </w:rPr>
        <w:t>Coordinado por los programas de Doctorado de:</w:t>
      </w:r>
    </w:p>
    <w:p w14:paraId="3A293B83" w14:textId="77777777" w:rsidR="00562E2A" w:rsidRPr="007E6864" w:rsidRDefault="00562E2A" w:rsidP="003440DC">
      <w:pPr>
        <w:spacing w:line="240" w:lineRule="auto"/>
        <w:jc w:val="center"/>
        <w:rPr>
          <w:rFonts w:ascii="Century Schoolbook" w:hAnsi="Century Schoolbook"/>
          <w:b/>
        </w:rPr>
      </w:pPr>
      <w:r w:rsidRPr="007E6864">
        <w:rPr>
          <w:rFonts w:ascii="Century Schoolbook" w:hAnsi="Century Schoolbook"/>
          <w:b/>
        </w:rPr>
        <w:t>Universidad de Los Andes</w:t>
      </w:r>
    </w:p>
    <w:p w14:paraId="5ADCEBA0" w14:textId="77777777" w:rsidR="007477D1" w:rsidRPr="007E6864" w:rsidRDefault="007477D1" w:rsidP="003440DC">
      <w:pPr>
        <w:spacing w:line="240" w:lineRule="auto"/>
        <w:jc w:val="center"/>
        <w:rPr>
          <w:rFonts w:ascii="Century Schoolbook" w:hAnsi="Century Schoolbook"/>
          <w:b/>
        </w:rPr>
      </w:pPr>
      <w:r w:rsidRPr="007E6864">
        <w:rPr>
          <w:rFonts w:ascii="Century Schoolbook" w:hAnsi="Century Schoolbook"/>
          <w:b/>
        </w:rPr>
        <w:t>Pontificia Universidad Javeriana de Bogotá</w:t>
      </w:r>
    </w:p>
    <w:p w14:paraId="68484D90" w14:textId="77777777" w:rsidR="007477D1" w:rsidRPr="007E6864" w:rsidRDefault="007477D1" w:rsidP="003440DC">
      <w:pPr>
        <w:spacing w:line="240" w:lineRule="auto"/>
        <w:jc w:val="center"/>
        <w:rPr>
          <w:rFonts w:ascii="Century Schoolbook" w:hAnsi="Century Schoolbook"/>
          <w:b/>
        </w:rPr>
      </w:pPr>
      <w:r w:rsidRPr="007E6864">
        <w:rPr>
          <w:rFonts w:ascii="Century Schoolbook" w:hAnsi="Century Schoolbook"/>
          <w:b/>
        </w:rPr>
        <w:t>Universidad Católica de Colombia</w:t>
      </w:r>
    </w:p>
    <w:p w14:paraId="38D4717E" w14:textId="77777777" w:rsidR="00562E2A" w:rsidRPr="007E6864" w:rsidRDefault="00562E2A" w:rsidP="003440DC">
      <w:pPr>
        <w:spacing w:line="240" w:lineRule="auto"/>
        <w:jc w:val="center"/>
        <w:rPr>
          <w:rFonts w:ascii="Century Schoolbook" w:hAnsi="Century Schoolbook"/>
          <w:b/>
        </w:rPr>
      </w:pPr>
      <w:r w:rsidRPr="007E6864">
        <w:rPr>
          <w:rFonts w:ascii="Century Schoolbook" w:hAnsi="Century Schoolbook"/>
          <w:b/>
        </w:rPr>
        <w:t>Fundación Universitaria Konrad Lorenz</w:t>
      </w:r>
    </w:p>
    <w:p w14:paraId="4912C2FE" w14:textId="77777777" w:rsidR="007477D1" w:rsidRPr="007E6864" w:rsidRDefault="007477D1" w:rsidP="003440DC">
      <w:pPr>
        <w:spacing w:line="240" w:lineRule="auto"/>
        <w:jc w:val="center"/>
        <w:rPr>
          <w:rFonts w:ascii="Century Schoolbook" w:hAnsi="Century Schoolbook"/>
          <w:b/>
        </w:rPr>
      </w:pPr>
      <w:r w:rsidRPr="007E6864">
        <w:rPr>
          <w:rFonts w:ascii="Century Schoolbook" w:hAnsi="Century Schoolbook"/>
          <w:b/>
        </w:rPr>
        <w:t>Universidad Nacional de Colombia</w:t>
      </w:r>
    </w:p>
    <w:tbl>
      <w:tblPr>
        <w:tblStyle w:val="Tablaconcuadrcula"/>
        <w:tblpPr w:leftFromText="141" w:rightFromText="141" w:vertAnchor="page" w:horzAnchor="margin" w:tblpXSpec="center" w:tblpY="6211"/>
        <w:tblW w:w="11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694"/>
        <w:gridCol w:w="2976"/>
        <w:gridCol w:w="2792"/>
      </w:tblGrid>
      <w:tr w:rsidR="007477D1" w:rsidRPr="007E6864" w14:paraId="67EF43D3" w14:textId="77777777" w:rsidTr="007477D1">
        <w:trPr>
          <w:trHeight w:val="1910"/>
        </w:trPr>
        <w:tc>
          <w:tcPr>
            <w:tcW w:w="2830" w:type="dxa"/>
            <w:vAlign w:val="center"/>
          </w:tcPr>
          <w:p w14:paraId="6FCF6A67" w14:textId="77777777" w:rsidR="007477D1" w:rsidRPr="007E6864" w:rsidRDefault="007477D1" w:rsidP="003440DC">
            <w:pPr>
              <w:rPr>
                <w:rFonts w:ascii="Century Schoolbook" w:hAnsi="Century Schoolbook"/>
              </w:rPr>
            </w:pPr>
          </w:p>
          <w:p w14:paraId="0331F359" w14:textId="77777777" w:rsidR="007477D1" w:rsidRPr="007E6864" w:rsidRDefault="007477D1" w:rsidP="003440DC">
            <w:pPr>
              <w:rPr>
                <w:rFonts w:ascii="Century Schoolbook" w:hAnsi="Century Schoolbook"/>
              </w:rPr>
            </w:pPr>
            <w:r w:rsidRPr="007E6864">
              <w:rPr>
                <w:rFonts w:ascii="Century Schoolbook" w:hAnsi="Century Schoolbook"/>
                <w:noProof/>
                <w:lang w:eastAsia="es-CO"/>
              </w:rPr>
              <w:drawing>
                <wp:inline distT="0" distB="0" distL="0" distR="0" wp14:anchorId="2E904258" wp14:editId="6F4DF305">
                  <wp:extent cx="1542280" cy="10795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rotWithShape="1">
                          <a:blip r:embed="rId5" cstate="print">
                            <a:extLst>
                              <a:ext uri="{28A0092B-C50C-407E-A947-70E740481C1C}">
                                <a14:useLocalDpi xmlns:a14="http://schemas.microsoft.com/office/drawing/2010/main" val="0"/>
                              </a:ext>
                            </a:extLst>
                          </a:blip>
                          <a:srcRect t="10457" b="16667"/>
                          <a:stretch/>
                        </pic:blipFill>
                        <pic:spPr bwMode="auto">
                          <a:xfrm>
                            <a:off x="0" y="0"/>
                            <a:ext cx="1555504" cy="1088756"/>
                          </a:xfrm>
                          <a:prstGeom prst="rect">
                            <a:avLst/>
                          </a:prstGeom>
                          <a:ln>
                            <a:noFill/>
                          </a:ln>
                          <a:extLst>
                            <a:ext uri="{53640926-AAD7-44D8-BBD7-CCE9431645EC}">
                              <a14:shadowObscured xmlns:a14="http://schemas.microsoft.com/office/drawing/2010/main"/>
                            </a:ext>
                          </a:extLst>
                        </pic:spPr>
                      </pic:pic>
                    </a:graphicData>
                  </a:graphic>
                </wp:inline>
              </w:drawing>
            </w:r>
          </w:p>
          <w:p w14:paraId="2E514F9C" w14:textId="77777777" w:rsidR="007477D1" w:rsidRPr="007E6864" w:rsidRDefault="007477D1" w:rsidP="003440DC">
            <w:pPr>
              <w:jc w:val="center"/>
              <w:rPr>
                <w:rFonts w:ascii="Century Schoolbook" w:hAnsi="Century Schoolbook"/>
              </w:rPr>
            </w:pPr>
          </w:p>
        </w:tc>
        <w:tc>
          <w:tcPr>
            <w:tcW w:w="2694" w:type="dxa"/>
            <w:vAlign w:val="center"/>
          </w:tcPr>
          <w:p w14:paraId="0067E8F2" w14:textId="77777777" w:rsidR="007477D1" w:rsidRPr="007E6864" w:rsidRDefault="007477D1" w:rsidP="003440DC">
            <w:pPr>
              <w:jc w:val="center"/>
              <w:rPr>
                <w:rFonts w:ascii="Century Schoolbook" w:hAnsi="Century Schoolbook"/>
              </w:rPr>
            </w:pPr>
            <w:r w:rsidRPr="007E6864">
              <w:rPr>
                <w:rFonts w:ascii="Century Schoolbook" w:hAnsi="Century Schoolbook"/>
                <w:noProof/>
                <w:lang w:eastAsia="es-CO"/>
              </w:rPr>
              <w:drawing>
                <wp:inline distT="0" distB="0" distL="0" distR="0" wp14:anchorId="1C710AD8" wp14:editId="37B9B60B">
                  <wp:extent cx="1270000" cy="1355589"/>
                  <wp:effectExtent l="0" t="0" r="0" b="381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3728" cy="1359568"/>
                          </a:xfrm>
                          <a:prstGeom prst="rect">
                            <a:avLst/>
                          </a:prstGeom>
                        </pic:spPr>
                      </pic:pic>
                    </a:graphicData>
                  </a:graphic>
                </wp:inline>
              </w:drawing>
            </w:r>
          </w:p>
        </w:tc>
        <w:tc>
          <w:tcPr>
            <w:tcW w:w="2976" w:type="dxa"/>
            <w:vAlign w:val="center"/>
          </w:tcPr>
          <w:p w14:paraId="2D604B28" w14:textId="77777777" w:rsidR="007477D1" w:rsidRPr="007E6864" w:rsidRDefault="007477D1" w:rsidP="003440DC">
            <w:pPr>
              <w:rPr>
                <w:rFonts w:ascii="Century Schoolbook" w:hAnsi="Century Schoolbook"/>
              </w:rPr>
            </w:pPr>
          </w:p>
          <w:p w14:paraId="622FFCB2" w14:textId="4A222597" w:rsidR="007477D1" w:rsidRPr="007E6864" w:rsidRDefault="007477D1" w:rsidP="003440DC">
            <w:pPr>
              <w:jc w:val="center"/>
              <w:rPr>
                <w:rFonts w:ascii="Century Schoolbook" w:hAnsi="Century Schoolbook"/>
              </w:rPr>
            </w:pPr>
            <w:r w:rsidRPr="007E6864">
              <w:rPr>
                <w:rFonts w:ascii="Century Schoolbook" w:hAnsi="Century Schoolbook"/>
              </w:rPr>
              <w:fldChar w:fldCharType="begin"/>
            </w:r>
            <w:r w:rsidR="00A04F14">
              <w:rPr>
                <w:rFonts w:ascii="Century Schoolbook" w:hAnsi="Century Schoolbook"/>
              </w:rPr>
              <w:instrText xml:space="preserve"> INCLUDEPICTURE "D:\\var\\folders\\4v\\1qwjtvtj1t7c9c_lk_hxyk880000gn\\T\\com.microsoft.Word\\WebArchiveCopyPasteTempFiles\\Logo_Institucional_2019_UCdeC.png" \* MERGEFORMAT </w:instrText>
            </w:r>
            <w:r w:rsidRPr="007E6864">
              <w:rPr>
                <w:rFonts w:ascii="Century Schoolbook" w:hAnsi="Century Schoolbook"/>
              </w:rPr>
              <w:fldChar w:fldCharType="separate"/>
            </w:r>
            <w:r w:rsidRPr="007E6864">
              <w:rPr>
                <w:rFonts w:ascii="Century Schoolbook" w:hAnsi="Century Schoolbook"/>
                <w:noProof/>
                <w:lang w:eastAsia="es-CO"/>
              </w:rPr>
              <w:drawing>
                <wp:inline distT="0" distB="0" distL="0" distR="0" wp14:anchorId="6A8998F6" wp14:editId="3BBE14D2">
                  <wp:extent cx="1738520" cy="845185"/>
                  <wp:effectExtent l="0" t="0" r="1905" b="0"/>
                  <wp:docPr id="43" name="Imagen 43" descr="Las &amp;#39;Cookies&amp;#39; deben estar habilitadas en su naveg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Las &amp;#39;Cookies&amp;#39; deben estar habilitadas en su navegador"/>
                          <pic:cNvPicPr>
                            <a:picLocks noChangeAspect="1" noChangeArrowheads="1"/>
                          </pic:cNvPicPr>
                        </pic:nvPicPr>
                        <pic:blipFill rotWithShape="1">
                          <a:blip r:embed="rId7">
                            <a:extLst>
                              <a:ext uri="{28A0092B-C50C-407E-A947-70E740481C1C}">
                                <a14:useLocalDpi xmlns:a14="http://schemas.microsoft.com/office/drawing/2010/main" val="0"/>
                              </a:ext>
                            </a:extLst>
                          </a:blip>
                          <a:srcRect r="35359"/>
                          <a:stretch/>
                        </pic:blipFill>
                        <pic:spPr bwMode="auto">
                          <a:xfrm>
                            <a:off x="0" y="0"/>
                            <a:ext cx="1845821" cy="897350"/>
                          </a:xfrm>
                          <a:prstGeom prst="rect">
                            <a:avLst/>
                          </a:prstGeom>
                          <a:noFill/>
                          <a:ln>
                            <a:noFill/>
                          </a:ln>
                          <a:extLst>
                            <a:ext uri="{53640926-AAD7-44D8-BBD7-CCE9431645EC}">
                              <a14:shadowObscured xmlns:a14="http://schemas.microsoft.com/office/drawing/2010/main"/>
                            </a:ext>
                          </a:extLst>
                        </pic:spPr>
                      </pic:pic>
                    </a:graphicData>
                  </a:graphic>
                </wp:inline>
              </w:drawing>
            </w:r>
            <w:r w:rsidRPr="007E6864">
              <w:rPr>
                <w:rFonts w:ascii="Century Schoolbook" w:hAnsi="Century Schoolbook"/>
              </w:rPr>
              <w:fldChar w:fldCharType="end"/>
            </w:r>
          </w:p>
          <w:p w14:paraId="65FE259C" w14:textId="77777777" w:rsidR="007477D1" w:rsidRPr="007E6864" w:rsidRDefault="007477D1" w:rsidP="003440DC">
            <w:pPr>
              <w:rPr>
                <w:rFonts w:ascii="Century Schoolbook" w:hAnsi="Century Schoolbook"/>
              </w:rPr>
            </w:pPr>
          </w:p>
        </w:tc>
        <w:tc>
          <w:tcPr>
            <w:tcW w:w="2792" w:type="dxa"/>
            <w:vAlign w:val="center"/>
          </w:tcPr>
          <w:p w14:paraId="61F5AF8E" w14:textId="77777777" w:rsidR="007477D1" w:rsidRPr="007E6864" w:rsidRDefault="007477D1" w:rsidP="003440DC">
            <w:pPr>
              <w:rPr>
                <w:rFonts w:ascii="Century Schoolbook" w:hAnsi="Century Schoolbook"/>
              </w:rPr>
            </w:pPr>
          </w:p>
          <w:p w14:paraId="295CCB48" w14:textId="77777777" w:rsidR="007477D1" w:rsidRPr="007E6864" w:rsidRDefault="007477D1" w:rsidP="003440DC">
            <w:pPr>
              <w:jc w:val="center"/>
              <w:rPr>
                <w:rFonts w:ascii="Century Schoolbook" w:hAnsi="Century Schoolbook"/>
              </w:rPr>
            </w:pPr>
            <w:r w:rsidRPr="007E6864">
              <w:rPr>
                <w:rFonts w:ascii="Century Schoolbook" w:hAnsi="Century Schoolbook"/>
                <w:noProof/>
                <w:lang w:eastAsia="es-CO"/>
              </w:rPr>
              <w:drawing>
                <wp:anchor distT="0" distB="0" distL="114300" distR="114300" simplePos="0" relativeHeight="251659264" behindDoc="0" locked="0" layoutInCell="1" allowOverlap="1" wp14:anchorId="06319502" wp14:editId="372E239A">
                  <wp:simplePos x="0" y="0"/>
                  <wp:positionH relativeFrom="column">
                    <wp:posOffset>12700</wp:posOffset>
                  </wp:positionH>
                  <wp:positionV relativeFrom="paragraph">
                    <wp:posOffset>0</wp:posOffset>
                  </wp:positionV>
                  <wp:extent cx="1574578" cy="754380"/>
                  <wp:effectExtent l="0" t="0" r="63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578" cy="754380"/>
                          </a:xfrm>
                          <a:prstGeom prst="rect">
                            <a:avLst/>
                          </a:prstGeom>
                        </pic:spPr>
                      </pic:pic>
                    </a:graphicData>
                  </a:graphic>
                  <wp14:sizeRelH relativeFrom="page">
                    <wp14:pctWidth>0</wp14:pctWidth>
                  </wp14:sizeRelH>
                  <wp14:sizeRelV relativeFrom="page">
                    <wp14:pctHeight>0</wp14:pctHeight>
                  </wp14:sizeRelV>
                </wp:anchor>
              </w:drawing>
            </w:r>
          </w:p>
        </w:tc>
      </w:tr>
      <w:tr w:rsidR="007477D1" w:rsidRPr="007E6864" w14:paraId="135C0E3C" w14:textId="77777777" w:rsidTr="007477D1">
        <w:trPr>
          <w:trHeight w:val="1498"/>
        </w:trPr>
        <w:tc>
          <w:tcPr>
            <w:tcW w:w="5524" w:type="dxa"/>
            <w:gridSpan w:val="2"/>
            <w:vAlign w:val="center"/>
          </w:tcPr>
          <w:p w14:paraId="6109D81B" w14:textId="77777777" w:rsidR="007477D1" w:rsidRPr="007E6864" w:rsidRDefault="007477D1" w:rsidP="003440DC">
            <w:pPr>
              <w:jc w:val="center"/>
              <w:rPr>
                <w:rFonts w:ascii="Century Schoolbook" w:hAnsi="Century Schoolbook"/>
                <w:noProof/>
              </w:rPr>
            </w:pPr>
            <w:r w:rsidRPr="007E6864">
              <w:rPr>
                <w:rFonts w:ascii="Century Schoolbook" w:hAnsi="Century Schoolbook"/>
                <w:noProof/>
                <w:lang w:eastAsia="es-CO"/>
              </w:rPr>
              <w:drawing>
                <wp:inline distT="0" distB="0" distL="0" distR="0" wp14:anchorId="0018956E" wp14:editId="4A293F34">
                  <wp:extent cx="1955800" cy="9130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265" cy="917470"/>
                          </a:xfrm>
                          <a:prstGeom prst="rect">
                            <a:avLst/>
                          </a:prstGeom>
                        </pic:spPr>
                      </pic:pic>
                    </a:graphicData>
                  </a:graphic>
                </wp:inline>
              </w:drawing>
            </w:r>
          </w:p>
        </w:tc>
        <w:tc>
          <w:tcPr>
            <w:tcW w:w="5768" w:type="dxa"/>
            <w:gridSpan w:val="2"/>
            <w:vAlign w:val="center"/>
          </w:tcPr>
          <w:p w14:paraId="51B47792" w14:textId="77777777" w:rsidR="007477D1" w:rsidRPr="007E6864" w:rsidRDefault="007477D1" w:rsidP="003440DC">
            <w:pPr>
              <w:jc w:val="center"/>
              <w:rPr>
                <w:rFonts w:ascii="Century Schoolbook" w:hAnsi="Century Schoolbook"/>
              </w:rPr>
            </w:pPr>
            <w:r w:rsidRPr="007E6864">
              <w:rPr>
                <w:rFonts w:ascii="Century Schoolbook" w:hAnsi="Century Schoolbook"/>
                <w:noProof/>
                <w:lang w:eastAsia="es-CO"/>
              </w:rPr>
              <w:drawing>
                <wp:inline distT="0" distB="0" distL="0" distR="0" wp14:anchorId="2B6A881B" wp14:editId="30F44F99">
                  <wp:extent cx="2518100" cy="730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2528380" cy="733231"/>
                          </a:xfrm>
                          <a:prstGeom prst="rect">
                            <a:avLst/>
                          </a:prstGeom>
                        </pic:spPr>
                      </pic:pic>
                    </a:graphicData>
                  </a:graphic>
                </wp:inline>
              </w:drawing>
            </w:r>
          </w:p>
        </w:tc>
      </w:tr>
      <w:tr w:rsidR="007477D1" w:rsidRPr="007E6864" w14:paraId="1D26FD51" w14:textId="77777777" w:rsidTr="007477D1">
        <w:trPr>
          <w:trHeight w:val="1498"/>
        </w:trPr>
        <w:tc>
          <w:tcPr>
            <w:tcW w:w="11292" w:type="dxa"/>
            <w:gridSpan w:val="4"/>
            <w:vAlign w:val="center"/>
          </w:tcPr>
          <w:p w14:paraId="4D9AC061" w14:textId="77777777" w:rsidR="007477D1" w:rsidRPr="007E6864" w:rsidRDefault="007477D1" w:rsidP="003440DC">
            <w:pPr>
              <w:jc w:val="center"/>
              <w:rPr>
                <w:rFonts w:ascii="Century Schoolbook" w:hAnsi="Century Schoolbook"/>
                <w:noProof/>
              </w:rPr>
            </w:pPr>
          </w:p>
          <w:p w14:paraId="44D32600" w14:textId="77777777" w:rsidR="007477D1" w:rsidRPr="007E6864" w:rsidRDefault="007477D1" w:rsidP="003440DC">
            <w:pPr>
              <w:jc w:val="center"/>
              <w:rPr>
                <w:rFonts w:ascii="Century Schoolbook" w:hAnsi="Century Schoolbook"/>
                <w:noProof/>
              </w:rPr>
            </w:pPr>
            <w:r w:rsidRPr="007E6864">
              <w:rPr>
                <w:rFonts w:ascii="Century Schoolbook" w:hAnsi="Century Schoolbook"/>
                <w:noProof/>
                <w:lang w:eastAsia="es-CO"/>
              </w:rPr>
              <w:drawing>
                <wp:inline distT="0" distB="0" distL="0" distR="0" wp14:anchorId="279E679E" wp14:editId="02F9D35F">
                  <wp:extent cx="3920490" cy="1371065"/>
                  <wp:effectExtent l="0" t="0" r="3810" b="63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7622" cy="1380554"/>
                          </a:xfrm>
                          <a:prstGeom prst="rect">
                            <a:avLst/>
                          </a:prstGeom>
                        </pic:spPr>
                      </pic:pic>
                    </a:graphicData>
                  </a:graphic>
                </wp:inline>
              </w:drawing>
            </w:r>
          </w:p>
          <w:p w14:paraId="7365A2E4" w14:textId="77777777" w:rsidR="007477D1" w:rsidRPr="007E6864" w:rsidRDefault="007477D1" w:rsidP="003440DC">
            <w:pPr>
              <w:jc w:val="center"/>
              <w:rPr>
                <w:rFonts w:ascii="Century Schoolbook" w:hAnsi="Century Schoolbook"/>
                <w:noProof/>
              </w:rPr>
            </w:pPr>
          </w:p>
        </w:tc>
      </w:tr>
    </w:tbl>
    <w:p w14:paraId="7BD0C2E5" w14:textId="77777777" w:rsidR="007477D1" w:rsidRPr="007E6864" w:rsidRDefault="007477D1" w:rsidP="003440DC">
      <w:pPr>
        <w:spacing w:line="240" w:lineRule="auto"/>
        <w:jc w:val="center"/>
        <w:rPr>
          <w:rFonts w:ascii="Century Schoolbook" w:hAnsi="Century Schoolbook"/>
          <w:b/>
        </w:rPr>
      </w:pPr>
      <w:r w:rsidRPr="007E6864">
        <w:rPr>
          <w:rFonts w:ascii="Century Schoolbook" w:hAnsi="Century Schoolbook"/>
          <w:b/>
        </w:rPr>
        <w:t>Universidad Santo Tomás</w:t>
      </w:r>
    </w:p>
    <w:p w14:paraId="12D1CD6B" w14:textId="77777777" w:rsidR="003440DC" w:rsidRDefault="003440DC" w:rsidP="003440DC">
      <w:pPr>
        <w:spacing w:line="240" w:lineRule="auto"/>
        <w:jc w:val="center"/>
        <w:rPr>
          <w:b/>
        </w:rPr>
      </w:pPr>
    </w:p>
    <w:p w14:paraId="15C25006" w14:textId="77777777" w:rsidR="003440DC" w:rsidRDefault="003440DC" w:rsidP="003440DC">
      <w:pPr>
        <w:spacing w:line="240" w:lineRule="auto"/>
        <w:jc w:val="center"/>
        <w:rPr>
          <w:b/>
        </w:rPr>
      </w:pPr>
    </w:p>
    <w:p w14:paraId="5A84BAF6" w14:textId="77777777" w:rsidR="003440DC" w:rsidRDefault="003440DC" w:rsidP="003440DC">
      <w:pPr>
        <w:spacing w:line="240" w:lineRule="auto"/>
        <w:jc w:val="center"/>
        <w:rPr>
          <w:b/>
        </w:rPr>
      </w:pPr>
    </w:p>
    <w:p w14:paraId="310565D4" w14:textId="77777777" w:rsidR="000C75C9" w:rsidRDefault="000C75C9" w:rsidP="003440DC">
      <w:pPr>
        <w:spacing w:line="240" w:lineRule="auto"/>
        <w:jc w:val="center"/>
        <w:rPr>
          <w:b/>
        </w:rPr>
      </w:pPr>
    </w:p>
    <w:p w14:paraId="37205686" w14:textId="77777777" w:rsidR="000C75C9" w:rsidRDefault="000C75C9" w:rsidP="003440DC">
      <w:pPr>
        <w:spacing w:line="240" w:lineRule="auto"/>
        <w:jc w:val="center"/>
        <w:rPr>
          <w:b/>
        </w:rPr>
      </w:pPr>
    </w:p>
    <w:p w14:paraId="6EA42AB8" w14:textId="06CE8E44" w:rsidR="00D524B6" w:rsidRDefault="00D524B6" w:rsidP="00D524B6">
      <w:pPr>
        <w:spacing w:line="240" w:lineRule="auto"/>
        <w:jc w:val="center"/>
        <w:rPr>
          <w:b/>
        </w:rPr>
      </w:pPr>
      <w:r>
        <w:rPr>
          <w:b/>
        </w:rPr>
        <w:br w:type="page"/>
      </w:r>
      <w:r w:rsidR="008916B1" w:rsidRPr="008916B1">
        <w:rPr>
          <w:b/>
        </w:rPr>
        <w:lastRenderedPageBreak/>
        <w:t>)</w:t>
      </w:r>
    </w:p>
    <w:p w14:paraId="29FDE6D8" w14:textId="77777777" w:rsidR="00D27763" w:rsidRDefault="00D27763" w:rsidP="003440DC">
      <w:pPr>
        <w:spacing w:line="240" w:lineRule="auto"/>
        <w:jc w:val="center"/>
        <w:rPr>
          <w:b/>
        </w:rPr>
      </w:pPr>
    </w:p>
    <w:p w14:paraId="0C8DBF6B" w14:textId="77777777" w:rsidR="00826169" w:rsidRPr="00F2158E" w:rsidRDefault="00D22DDC" w:rsidP="003440DC">
      <w:pPr>
        <w:spacing w:line="240" w:lineRule="auto"/>
        <w:jc w:val="center"/>
        <w:rPr>
          <w:b/>
          <w:sz w:val="24"/>
          <w:szCs w:val="24"/>
        </w:rPr>
      </w:pPr>
      <w:r w:rsidRPr="00F2158E">
        <w:rPr>
          <w:b/>
          <w:sz w:val="24"/>
          <w:szCs w:val="24"/>
        </w:rPr>
        <w:t>Memoria</w:t>
      </w:r>
      <w:r w:rsidR="00FC6068" w:rsidRPr="00F2158E">
        <w:rPr>
          <w:b/>
          <w:sz w:val="24"/>
          <w:szCs w:val="24"/>
        </w:rPr>
        <w:t>s</w:t>
      </w:r>
      <w:r w:rsidR="00826169" w:rsidRPr="00F2158E">
        <w:rPr>
          <w:b/>
          <w:sz w:val="24"/>
          <w:szCs w:val="24"/>
        </w:rPr>
        <w:t>:</w:t>
      </w:r>
      <w:r w:rsidRPr="00F2158E">
        <w:rPr>
          <w:b/>
          <w:sz w:val="24"/>
          <w:szCs w:val="24"/>
        </w:rPr>
        <w:t xml:space="preserve">  IX Encuentro de Estudiantes de Doctorado en Psicología 2021 </w:t>
      </w:r>
    </w:p>
    <w:p w14:paraId="34F52245" w14:textId="77777777" w:rsidR="00826169" w:rsidRDefault="00841BF3" w:rsidP="008A1D62">
      <w:pPr>
        <w:spacing w:line="240" w:lineRule="auto"/>
        <w:jc w:val="center"/>
        <w:rPr>
          <w:b/>
        </w:rPr>
      </w:pPr>
      <w:r>
        <w:rPr>
          <w:b/>
        </w:rPr>
        <w:t>Jueves 2 de diciembre</w:t>
      </w:r>
      <w:r w:rsidR="008A1D62">
        <w:rPr>
          <w:b/>
        </w:rPr>
        <w:t xml:space="preserve"> de 2021</w:t>
      </w:r>
    </w:p>
    <w:p w14:paraId="3B3085F6" w14:textId="77777777" w:rsidR="00841BF3" w:rsidRDefault="00841BF3" w:rsidP="00841BF3">
      <w:pPr>
        <w:spacing w:line="240" w:lineRule="auto"/>
        <w:rPr>
          <w:b/>
        </w:rPr>
      </w:pPr>
      <w:r>
        <w:rPr>
          <w:b/>
        </w:rPr>
        <w:t>10:00 a.m. – 12: 00p.m.</w:t>
      </w:r>
    </w:p>
    <w:tbl>
      <w:tblPr>
        <w:tblStyle w:val="Tablaconcuadrcula"/>
        <w:tblW w:w="0" w:type="auto"/>
        <w:tblLook w:val="04A0" w:firstRow="1" w:lastRow="0" w:firstColumn="1" w:lastColumn="0" w:noHBand="0" w:noVBand="1"/>
      </w:tblPr>
      <w:tblGrid>
        <w:gridCol w:w="8828"/>
      </w:tblGrid>
      <w:tr w:rsidR="005C7A92" w14:paraId="626F983F" w14:textId="77777777" w:rsidTr="00847ABE">
        <w:tc>
          <w:tcPr>
            <w:tcW w:w="12996" w:type="dxa"/>
          </w:tcPr>
          <w:p w14:paraId="4F90007D" w14:textId="77777777" w:rsidR="005C7A92" w:rsidRDefault="005C7A92" w:rsidP="003440DC">
            <w:pPr>
              <w:jc w:val="center"/>
              <w:rPr>
                <w:b/>
              </w:rPr>
            </w:pPr>
            <w:r>
              <w:rPr>
                <w:b/>
              </w:rPr>
              <w:t>Simposio 1A: Intervenciones clínicas frente al daño psicológico, afrontamiento del cuidador, trastornos alimentarios y adicciones.</w:t>
            </w:r>
          </w:p>
        </w:tc>
      </w:tr>
      <w:tr w:rsidR="00847ABE" w14:paraId="76A1AE08" w14:textId="77777777" w:rsidTr="00847ABE">
        <w:tc>
          <w:tcPr>
            <w:tcW w:w="12996" w:type="dxa"/>
          </w:tcPr>
          <w:p w14:paraId="6E3084BF" w14:textId="77777777" w:rsidR="00847ABE" w:rsidRPr="000C2D5C" w:rsidRDefault="00E61B87" w:rsidP="003440DC">
            <w:pPr>
              <w:jc w:val="center"/>
            </w:pPr>
            <w:r w:rsidRPr="000C2D5C">
              <w:t xml:space="preserve">Tatiana Castañeda </w:t>
            </w:r>
            <w:proofErr w:type="spellStart"/>
            <w:r w:rsidRPr="000C2D5C">
              <w:t>Quirama</w:t>
            </w:r>
            <w:proofErr w:type="spellEnd"/>
          </w:p>
          <w:p w14:paraId="566187C0" w14:textId="77777777" w:rsidR="00E61B87" w:rsidRPr="000C2D5C" w:rsidRDefault="00E61B87" w:rsidP="003440DC">
            <w:pPr>
              <w:jc w:val="center"/>
            </w:pPr>
            <w:r w:rsidRPr="000C2D5C">
              <w:t xml:space="preserve">Universidad San Buenaventura </w:t>
            </w:r>
          </w:p>
        </w:tc>
      </w:tr>
      <w:tr w:rsidR="000C2D5C" w14:paraId="6004FF67" w14:textId="77777777" w:rsidTr="00847ABE">
        <w:tc>
          <w:tcPr>
            <w:tcW w:w="12996" w:type="dxa"/>
          </w:tcPr>
          <w:p w14:paraId="339E6E94" w14:textId="77777777" w:rsidR="000C2D5C" w:rsidRPr="000C2D5C" w:rsidRDefault="000C2D5C" w:rsidP="000C2D5C">
            <w:pPr>
              <w:jc w:val="center"/>
            </w:pPr>
            <w:r w:rsidRPr="000C2D5C">
              <w:t xml:space="preserve">Esquemas </w:t>
            </w:r>
            <w:proofErr w:type="spellStart"/>
            <w:r w:rsidRPr="000C2D5C">
              <w:t>maladaptativos</w:t>
            </w:r>
            <w:proofErr w:type="spellEnd"/>
            <w:r w:rsidRPr="000C2D5C">
              <w:t xml:space="preserve"> tempranos y estrategias de afrontamiento en mujeres que presentan riesgo de trastorno de la conducta alimentaria y riesgo de dependencia al ejercicio físico</w:t>
            </w:r>
          </w:p>
        </w:tc>
      </w:tr>
      <w:tr w:rsidR="00847ABE" w14:paraId="7D3A07F2" w14:textId="77777777" w:rsidTr="00847ABE">
        <w:tc>
          <w:tcPr>
            <w:tcW w:w="12996" w:type="dxa"/>
          </w:tcPr>
          <w:p w14:paraId="3AC6F1E1" w14:textId="77777777" w:rsidR="00847ABE" w:rsidRPr="00E61B87" w:rsidRDefault="00E23DD7" w:rsidP="00E61B87">
            <w:pPr>
              <w:jc w:val="both"/>
            </w:pPr>
            <w:r w:rsidRPr="00E23DD7">
              <w:rPr>
                <w:b/>
              </w:rPr>
              <w:t>Resumen</w:t>
            </w:r>
            <w:r>
              <w:t xml:space="preserve">. </w:t>
            </w:r>
            <w:r w:rsidR="00E61B87" w:rsidRPr="00E61B87">
              <w:t xml:space="preserve">Con relación a la prevalencia, incidencia, factores causales y consecuencias de los Trastornos de la conducta alimentaria (TCA) en la población colombiana, puede mencionarse que los resultados se conocen solo de manera parcial. Partiendo de lo anterior, la presente investigación tiene como objetivo analizar el efecto de los Esquemas </w:t>
            </w:r>
            <w:proofErr w:type="spellStart"/>
            <w:r w:rsidR="00E61B87" w:rsidRPr="00E61B87">
              <w:t>maladaptativos</w:t>
            </w:r>
            <w:proofErr w:type="spellEnd"/>
            <w:r w:rsidR="00E61B87" w:rsidRPr="00E61B87">
              <w:t xml:space="preserve"> tempranos y su interacción con el sistema de afrontamiento sobre el riesgo de desarrollar un TCA y dependencia al ejercicio físico. Se realizará un diseño no experimental, observacional, analítico, transversal con 325 mujeres entre los 18 y 40 años usuarias de gimnasio de la ciudad de Medellín. La presente investigación pretende desarrollar un modelo explicativo que aporte información de utilidad en el momento de establecer programas de prevención frente a estas problemáticas, ya que los datos epidemiológicos reportados señalan que esta es una de las patologías que ha experimentado mayor crecimiento en la población joven, como consecuencia de las exigencias sociales y la sobrevaloración de la apariencia física, que a su vez, conduce al uso de prácticas deportivas que pueden ser excesivas, y que generan mayores niveles de afectació</w:t>
            </w:r>
            <w:r w:rsidR="000555DE">
              <w:t xml:space="preserve">n en la salud física y mental. </w:t>
            </w:r>
          </w:p>
        </w:tc>
      </w:tr>
    </w:tbl>
    <w:p w14:paraId="364FCC7F" w14:textId="77777777" w:rsidR="00D27763" w:rsidRDefault="00D22DDC" w:rsidP="003440DC">
      <w:pPr>
        <w:spacing w:line="240" w:lineRule="auto"/>
        <w:jc w:val="center"/>
        <w:rPr>
          <w:b/>
        </w:rPr>
      </w:pPr>
      <w:r w:rsidRPr="00D22DDC">
        <w:rPr>
          <w:b/>
        </w:rPr>
        <w:t xml:space="preserve">  </w:t>
      </w:r>
    </w:p>
    <w:tbl>
      <w:tblPr>
        <w:tblStyle w:val="Tablaconcuadrcula"/>
        <w:tblW w:w="0" w:type="auto"/>
        <w:tblLook w:val="04A0" w:firstRow="1" w:lastRow="0" w:firstColumn="1" w:lastColumn="0" w:noHBand="0" w:noVBand="1"/>
      </w:tblPr>
      <w:tblGrid>
        <w:gridCol w:w="8828"/>
      </w:tblGrid>
      <w:tr w:rsidR="000555DE" w14:paraId="7028D741" w14:textId="77777777" w:rsidTr="00A549ED">
        <w:tc>
          <w:tcPr>
            <w:tcW w:w="12996" w:type="dxa"/>
          </w:tcPr>
          <w:p w14:paraId="2E64E819" w14:textId="77777777" w:rsidR="000555DE" w:rsidRDefault="00E23DD7" w:rsidP="00A549ED">
            <w:pPr>
              <w:jc w:val="center"/>
              <w:rPr>
                <w:b/>
              </w:rPr>
            </w:pPr>
            <w:r>
              <w:rPr>
                <w:b/>
              </w:rPr>
              <w:t>Simposio</w:t>
            </w:r>
            <w:r w:rsidR="000555DE">
              <w:rPr>
                <w:b/>
              </w:rPr>
              <w:t xml:space="preserve"> </w:t>
            </w:r>
            <w:r w:rsidR="000C2D5C">
              <w:rPr>
                <w:b/>
              </w:rPr>
              <w:t xml:space="preserve">1B: Variables psicológicas y procesos de </w:t>
            </w:r>
            <w:proofErr w:type="spellStart"/>
            <w:r w:rsidR="000C2D5C">
              <w:rPr>
                <w:b/>
              </w:rPr>
              <w:t>autoregulación</w:t>
            </w:r>
            <w:proofErr w:type="spellEnd"/>
            <w:r w:rsidR="000C2D5C">
              <w:rPr>
                <w:b/>
              </w:rPr>
              <w:t xml:space="preserve"> en educación</w:t>
            </w:r>
          </w:p>
        </w:tc>
      </w:tr>
      <w:tr w:rsidR="00992A4F" w14:paraId="6EECC6A8" w14:textId="77777777" w:rsidTr="00EB779C">
        <w:trPr>
          <w:trHeight w:val="889"/>
        </w:trPr>
        <w:tc>
          <w:tcPr>
            <w:tcW w:w="12996" w:type="dxa"/>
          </w:tcPr>
          <w:p w14:paraId="69D6C016" w14:textId="77777777" w:rsidR="00992A4F" w:rsidRPr="007A2D18" w:rsidRDefault="00992A4F" w:rsidP="00A549ED">
            <w:pPr>
              <w:jc w:val="center"/>
            </w:pPr>
            <w:r w:rsidRPr="007A2D18">
              <w:t>Virgelina Castellanos Páez</w:t>
            </w:r>
          </w:p>
          <w:p w14:paraId="6E940659" w14:textId="77777777" w:rsidR="00992A4F" w:rsidRDefault="00992A4F" w:rsidP="00A549ED">
            <w:pPr>
              <w:jc w:val="center"/>
              <w:rPr>
                <w:b/>
              </w:rPr>
            </w:pPr>
            <w:r>
              <w:t xml:space="preserve">Pontificia </w:t>
            </w:r>
            <w:r w:rsidRPr="007A2D18">
              <w:t>Universidad Javeriana de Cali</w:t>
            </w:r>
          </w:p>
          <w:p w14:paraId="3FC475EC" w14:textId="77777777" w:rsidR="00992A4F" w:rsidRDefault="00992A4F" w:rsidP="000C2D5C">
            <w:pPr>
              <w:jc w:val="center"/>
              <w:rPr>
                <w:b/>
              </w:rPr>
            </w:pPr>
            <w:r>
              <w:t>Programa de acompañamiento docente para fomentar la motivación y el desempeño académico en estudiantes de ingeniería</w:t>
            </w:r>
          </w:p>
        </w:tc>
      </w:tr>
      <w:tr w:rsidR="000C2D5C" w14:paraId="4258C2E3" w14:textId="77777777" w:rsidTr="00A549ED">
        <w:tc>
          <w:tcPr>
            <w:tcW w:w="12996" w:type="dxa"/>
          </w:tcPr>
          <w:p w14:paraId="0C8E18C4" w14:textId="77777777" w:rsidR="000C2D5C" w:rsidRPr="00E61B87" w:rsidRDefault="00F53EF1" w:rsidP="00A549ED">
            <w:pPr>
              <w:jc w:val="both"/>
            </w:pPr>
            <w:r w:rsidRPr="00F53EF1">
              <w:rPr>
                <w:b/>
              </w:rPr>
              <w:t>Resumen</w:t>
            </w:r>
            <w:r>
              <w:t xml:space="preserve">. </w:t>
            </w:r>
            <w:r w:rsidR="00C05234" w:rsidRPr="00C05234">
              <w:t>Estudios con estudiantes universitarios evidencian que la motivación intrínseca es un predictor importante del desempeño académico, el compromiso y la permanencia estudiantil (Taylor et al., 2014). Desde la teoría de la autodeterminación (TAD) (</w:t>
            </w:r>
            <w:proofErr w:type="spellStart"/>
            <w:r w:rsidR="00C05234" w:rsidRPr="00C05234">
              <w:t>Deci</w:t>
            </w:r>
            <w:proofErr w:type="spellEnd"/>
            <w:r w:rsidR="00C05234" w:rsidRPr="00C05234">
              <w:t xml:space="preserve"> &amp; Ryan, 2000) se ha fundamentado que, la motivación intrínseca es posible en ambientes académicos que promueven distintos tipos de soporte o apoyo a las necesidades universales de autonomía, competencia y relación (Reeve &amp; </w:t>
            </w:r>
            <w:proofErr w:type="spellStart"/>
            <w:r w:rsidR="00C05234" w:rsidRPr="00C05234">
              <w:t>Shin</w:t>
            </w:r>
            <w:proofErr w:type="spellEnd"/>
            <w:r w:rsidR="00C05234" w:rsidRPr="00C05234">
              <w:t xml:space="preserve">, 2020). Bajo esta mirada, se sitúa la motivación como fenómeno emergente y situacional que es susceptible al cambio a través de las prácticas y andamiaje del docente. Este estudio </w:t>
            </w:r>
            <w:r w:rsidR="00C05234" w:rsidRPr="00C05234">
              <w:lastRenderedPageBreak/>
              <w:t>pretende examinar el efecto de un programa de acompañamiento docente basado en el fomento a la relevancia y percepción de competencia en la motivación y el desempeño académico en estudiantes de ingeniería (Civil, ambiental y de sistemas). La investigación se posiciona en un enfoque mixto, con diseño secuencial explicativo (Creswell et al., 2003). En la fase cuantitativa, se tomarán medidas repetidas en el transcurso del semestre académico, antes y durante la intervención en el grupo experimental y control no equivalente. En la fase cualitativa, se realizarán entrevistas semiestructuradas a docentes y estudiantes con el fin de identificar las percepciones que los participantes tienen sobre la intervención.</w:t>
            </w:r>
          </w:p>
        </w:tc>
      </w:tr>
      <w:tr w:rsidR="000C2D5C" w14:paraId="4C6520DD" w14:textId="77777777" w:rsidTr="00A549ED">
        <w:tc>
          <w:tcPr>
            <w:tcW w:w="12996" w:type="dxa"/>
          </w:tcPr>
          <w:p w14:paraId="62395455" w14:textId="77777777" w:rsidR="000C2D5C" w:rsidRPr="00E61B87" w:rsidRDefault="000C2D5C" w:rsidP="00A549ED">
            <w:pPr>
              <w:jc w:val="both"/>
            </w:pPr>
          </w:p>
        </w:tc>
      </w:tr>
      <w:tr w:rsidR="00C64E46" w14:paraId="3F24232D" w14:textId="77777777" w:rsidTr="00A549ED">
        <w:tc>
          <w:tcPr>
            <w:tcW w:w="12996" w:type="dxa"/>
          </w:tcPr>
          <w:p w14:paraId="5EAA8BE9" w14:textId="77777777" w:rsidR="00C64E46" w:rsidRDefault="00992A4F" w:rsidP="00992A4F">
            <w:pPr>
              <w:jc w:val="center"/>
            </w:pPr>
            <w:r>
              <w:t>Marcela Valencia Serrano</w:t>
            </w:r>
          </w:p>
          <w:p w14:paraId="4FC64A60" w14:textId="77777777" w:rsidR="00992A4F" w:rsidRDefault="00992A4F" w:rsidP="00992A4F">
            <w:pPr>
              <w:jc w:val="center"/>
            </w:pPr>
            <w:r w:rsidRPr="00992A4F">
              <w:t>Pontificia Universidad Javeriana de Cali</w:t>
            </w:r>
          </w:p>
          <w:p w14:paraId="052031D3" w14:textId="77777777" w:rsidR="00992A4F" w:rsidRPr="00E61B87" w:rsidRDefault="00992A4F" w:rsidP="00992A4F">
            <w:pPr>
              <w:jc w:val="center"/>
            </w:pPr>
            <w:r>
              <w:t>Aprendizaje autorregulado y desempeño en estudiantes de ingeniería en tareas de resolución de problemas: el rol de la  retroalimentación del profesor</w:t>
            </w:r>
          </w:p>
        </w:tc>
      </w:tr>
      <w:tr w:rsidR="00992A4F" w14:paraId="35A5B0E1" w14:textId="77777777" w:rsidTr="00A549ED">
        <w:tc>
          <w:tcPr>
            <w:tcW w:w="12996" w:type="dxa"/>
          </w:tcPr>
          <w:p w14:paraId="68663FAD" w14:textId="77777777" w:rsidR="00992A4F" w:rsidRDefault="00992A4F" w:rsidP="00992A4F">
            <w:r w:rsidRPr="009704B4">
              <w:rPr>
                <w:b/>
              </w:rPr>
              <w:t>Resumen</w:t>
            </w:r>
            <w:r>
              <w:t xml:space="preserve">. </w:t>
            </w:r>
            <w:r w:rsidR="009704B4" w:rsidRPr="009704B4">
              <w:t>Este estudio pretende comprender la interacción entre las características de la retroalimentación de profesores, la autorregulación del aprendizaje y el desempeño de estudiantes de ingeniería electrónica y de sistemas en una tarea de resolución de problemas auténtica que se resuelve a lo largo del semestre.  Para lograr este objetivo, la investigación se posiciona en el enfoque cualitativo de la investigación y recurre a un diseño de estudio de caso múltiple, que permite estudiar un fenómeno en su contexto auténtico y describirlo en profundidad, recurriendo a múltiples técnicas de recolección de información para estudiar los casos seleccionado.  Se seleccionarán casos de seis profesores y sus respectivos estudiantes, que dicten y cursen respectivamente asignaturas que propongan tareas de resolución de problemas desestructurados en el área de ingeniería de sistemas y electrónica. Se hará una selección de cuatro estudiantes por cada profesor.  Se observarán los espacios de retroalimentación, donde el profesor realicen devoluciones a las entregas que los estudiantes generen para cada momento de la tarea y se realizará un seguimiento al proceso de autorregulación del aprendizaje de los estudiantes en cada momento de esta, a través de entrevistas semiestructuradas y diarios de aprendizaje.</w:t>
            </w:r>
          </w:p>
        </w:tc>
      </w:tr>
    </w:tbl>
    <w:p w14:paraId="307F8A32" w14:textId="77777777" w:rsidR="00826169" w:rsidRDefault="00826169" w:rsidP="003440DC">
      <w:pPr>
        <w:spacing w:line="240" w:lineRule="auto"/>
        <w:jc w:val="center"/>
        <w:rPr>
          <w:b/>
        </w:rPr>
      </w:pPr>
    </w:p>
    <w:p w14:paraId="27E56D91" w14:textId="77777777" w:rsidR="00D27763" w:rsidRDefault="00D27763" w:rsidP="003440DC">
      <w:pPr>
        <w:spacing w:line="240" w:lineRule="auto"/>
        <w:jc w:val="center"/>
        <w:rPr>
          <w:b/>
        </w:rPr>
      </w:pPr>
    </w:p>
    <w:p w14:paraId="27A91F81" w14:textId="77777777" w:rsidR="00A0422A" w:rsidRDefault="00A0422A" w:rsidP="003440DC">
      <w:pPr>
        <w:spacing w:line="240" w:lineRule="auto"/>
        <w:jc w:val="center"/>
        <w:rPr>
          <w:b/>
        </w:rPr>
      </w:pPr>
    </w:p>
    <w:p w14:paraId="1E2A6AD0" w14:textId="77777777" w:rsidR="00D27763" w:rsidRDefault="00D27763"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A0422A" w14:paraId="1317A944" w14:textId="77777777" w:rsidTr="00A549ED">
        <w:tc>
          <w:tcPr>
            <w:tcW w:w="12996" w:type="dxa"/>
          </w:tcPr>
          <w:p w14:paraId="5C5063F6" w14:textId="77777777" w:rsidR="00A0422A" w:rsidRDefault="00A0422A" w:rsidP="00A0422A">
            <w:pPr>
              <w:jc w:val="center"/>
              <w:rPr>
                <w:b/>
              </w:rPr>
            </w:pPr>
            <w:r>
              <w:rPr>
                <w:b/>
              </w:rPr>
              <w:t xml:space="preserve">Simposio 1C: </w:t>
            </w:r>
            <w:r w:rsidR="00752D27">
              <w:rPr>
                <w:b/>
              </w:rPr>
              <w:t>Procesos de gestión</w:t>
            </w:r>
          </w:p>
        </w:tc>
      </w:tr>
      <w:tr w:rsidR="00A0422A" w14:paraId="6169549D" w14:textId="77777777" w:rsidTr="00A549ED">
        <w:trPr>
          <w:trHeight w:val="889"/>
        </w:trPr>
        <w:tc>
          <w:tcPr>
            <w:tcW w:w="12996" w:type="dxa"/>
          </w:tcPr>
          <w:p w14:paraId="0DC54177" w14:textId="77777777" w:rsidR="00A0422A" w:rsidRDefault="003E39C8" w:rsidP="00A549ED">
            <w:pPr>
              <w:jc w:val="center"/>
            </w:pPr>
            <w:r w:rsidRPr="003E39C8">
              <w:t>Shirly Martínez Susa</w:t>
            </w:r>
          </w:p>
          <w:p w14:paraId="636D28B4" w14:textId="77777777" w:rsidR="003E39C8" w:rsidRDefault="003E39C8" w:rsidP="00A549ED">
            <w:pPr>
              <w:jc w:val="center"/>
            </w:pPr>
            <w:r>
              <w:t>Universidad de San Buenaventura</w:t>
            </w:r>
          </w:p>
          <w:p w14:paraId="6DBF5D40" w14:textId="77777777" w:rsidR="003E39C8" w:rsidRPr="003E39C8" w:rsidRDefault="003E39C8" w:rsidP="00A549ED">
            <w:pPr>
              <w:jc w:val="center"/>
            </w:pPr>
            <w:r w:rsidRPr="003E39C8">
              <w:t>Resignificación del Modelo de Gestión Universitaria. Una respuesta a la Misión Institucional</w:t>
            </w:r>
          </w:p>
        </w:tc>
      </w:tr>
      <w:tr w:rsidR="00A0422A" w14:paraId="48E07119" w14:textId="77777777" w:rsidTr="00A549ED">
        <w:tc>
          <w:tcPr>
            <w:tcW w:w="12996" w:type="dxa"/>
          </w:tcPr>
          <w:p w14:paraId="20DFE853" w14:textId="77777777" w:rsidR="00A0422A" w:rsidRPr="00E61B87" w:rsidRDefault="00A0422A" w:rsidP="001B2CF5">
            <w:pPr>
              <w:jc w:val="both"/>
            </w:pPr>
            <w:r w:rsidRPr="00F53EF1">
              <w:rPr>
                <w:b/>
              </w:rPr>
              <w:t>Resumen</w:t>
            </w:r>
            <w:r>
              <w:t xml:space="preserve">. </w:t>
            </w:r>
            <w:r w:rsidR="001B2CF5">
              <w:t xml:space="preserve">El actual sistema universitario propicia un modelo de gestión hibrido resultante de la compleja articulación de tres lógicas superpuestas: la burocrática, la mercantil y la académica. La literatura aporta evidencia de tensiones entre la dinámica </w:t>
            </w:r>
            <w:r w:rsidR="001B2CF5">
              <w:lastRenderedPageBreak/>
              <w:t xml:space="preserve">de este sistema y la apuesta misional de la universidad, así como de inconsistencias entre su retórica y su práctica institucional. El objetivo del presente proyecto es doble: (a) En el plano empírico, analizar y describir puntos de fricción entre estas tres lógicas, considerando tanto la vivencia subjetiva de los actores individuales como el proceso objetivo de la organización. (b) En el práctico, aportar una propuesta de modelo de gestión académica que permita resignificar la Universidad en función de su apuesta misional. Método. El diseño de la investigación es de carácter cualitativo. El campo de estudio es una universidad colombiana. Para la recogida de información, se utilizarán diversas técnicas como observación etnográfica, entrevista semiestructurada, grupo focal y análisis de documentos. La información recogida será tratada mediante análisis de contenido. Resultados esperados. Evidencia empírica de tensiones entre modelo de gestión y apuesta misional de la universidad y propuesta de modelo balance de gestión que armonice las diversas lógicas que lo rigen.  </w:t>
            </w:r>
          </w:p>
        </w:tc>
      </w:tr>
      <w:tr w:rsidR="00A0422A" w14:paraId="21B21D4E" w14:textId="77777777" w:rsidTr="00A549ED">
        <w:tc>
          <w:tcPr>
            <w:tcW w:w="12996" w:type="dxa"/>
          </w:tcPr>
          <w:p w14:paraId="655FA7B8" w14:textId="77777777" w:rsidR="00A0422A" w:rsidRPr="00E61B87" w:rsidRDefault="00A0422A" w:rsidP="00A549ED">
            <w:pPr>
              <w:jc w:val="both"/>
            </w:pPr>
          </w:p>
        </w:tc>
      </w:tr>
      <w:tr w:rsidR="00A0422A" w14:paraId="70C0263E" w14:textId="77777777" w:rsidTr="00A549ED">
        <w:tc>
          <w:tcPr>
            <w:tcW w:w="12996" w:type="dxa"/>
          </w:tcPr>
          <w:p w14:paraId="491AFC8C" w14:textId="77777777" w:rsidR="00A0422A" w:rsidRDefault="00686D57" w:rsidP="00A549ED">
            <w:pPr>
              <w:jc w:val="center"/>
            </w:pPr>
            <w:r>
              <w:t>María Angélica García López</w:t>
            </w:r>
          </w:p>
          <w:p w14:paraId="2B575E14" w14:textId="77777777" w:rsidR="00AA02F4" w:rsidRDefault="00AA02F4" w:rsidP="00A549ED">
            <w:pPr>
              <w:jc w:val="center"/>
            </w:pPr>
            <w:r w:rsidRPr="00AA02F4">
              <w:t>Universidad del Valle</w:t>
            </w:r>
          </w:p>
          <w:p w14:paraId="51C0E93A" w14:textId="77777777" w:rsidR="00686D57" w:rsidRPr="00E61B87" w:rsidRDefault="00686D57" w:rsidP="00686D57">
            <w:pPr>
              <w:jc w:val="center"/>
            </w:pPr>
            <w:r>
              <w:t>Gestión universitaria. Prácticas que se configuran bajo el discurso de la calidad</w:t>
            </w:r>
          </w:p>
        </w:tc>
      </w:tr>
      <w:tr w:rsidR="00A0422A" w14:paraId="615C0E36" w14:textId="77777777" w:rsidTr="00A549ED">
        <w:tc>
          <w:tcPr>
            <w:tcW w:w="12996" w:type="dxa"/>
          </w:tcPr>
          <w:p w14:paraId="16880001" w14:textId="77777777" w:rsidR="00686D57" w:rsidRDefault="00A0422A" w:rsidP="00686D57">
            <w:pPr>
              <w:jc w:val="both"/>
            </w:pPr>
            <w:r w:rsidRPr="009704B4">
              <w:rPr>
                <w:b/>
              </w:rPr>
              <w:t>Resumen</w:t>
            </w:r>
            <w:r>
              <w:t xml:space="preserve">. </w:t>
            </w:r>
            <w:r w:rsidR="00686D57">
              <w:t xml:space="preserve">La investigación se orienta a la comprensión del fenómeno de la gestión universitaria a partir de las prácticas que se han configurado histórica y culturalmente, y cómo son transformadas por el discurso de la “calidad”, la “competitividad” y la </w:t>
            </w:r>
            <w:proofErr w:type="spellStart"/>
            <w:r w:rsidR="00686D57">
              <w:t>managerialización</w:t>
            </w:r>
            <w:proofErr w:type="spellEnd"/>
            <w:r w:rsidR="00686D57">
              <w:t xml:space="preserve">.  En tal sentido, la gestión universitaria, sus prácticas y herramientas son reguladas por la lógica </w:t>
            </w:r>
            <w:proofErr w:type="spellStart"/>
            <w:r w:rsidR="00686D57">
              <w:t>managerial</w:t>
            </w:r>
            <w:proofErr w:type="spellEnd"/>
            <w:r w:rsidR="00686D57">
              <w:t xml:space="preserve"> inscrita en el modelo de la Nueva Gestión Pública y el discurso de la calidad. El estudio analiza los desarrollos, cambios e institucionalización de la política pública relacionada con la calidad de la educación superior; la transformación de procesos de trabajo asociados a la institucionalización de discursos e instrumentos de calidad; y los efectos e implicaciones relacionadas. La estratégica metodológica de tipo etnográfico se acerca al fenómeno a partir del análisis documental, la entrevista, las conversaciones y el grupo de discusión.  Las técnicas de análisis de la información son: análisis de contenido, mapas de asociación y líneas narrativas.  El ejercicio investigativo se adelanta actualmente en una universidad con acreditación institucional y reconocimiento internacional, aproximándose a personas con experiencia en actividades académico-administrativa y profesionales expertos en la gestión universitaria en Colombia. El estudio se encuentra en la fase de recolección y análisis de los datos.  </w:t>
            </w:r>
          </w:p>
          <w:p w14:paraId="7A74D3FE" w14:textId="77777777" w:rsidR="00A0422A" w:rsidRDefault="00A0422A" w:rsidP="00686D57">
            <w:pPr>
              <w:jc w:val="both"/>
            </w:pPr>
          </w:p>
          <w:p w14:paraId="6EF5A8DD" w14:textId="77777777" w:rsidR="00686D57" w:rsidRDefault="00686D57" w:rsidP="00686D57">
            <w:pPr>
              <w:jc w:val="both"/>
            </w:pPr>
          </w:p>
        </w:tc>
      </w:tr>
    </w:tbl>
    <w:p w14:paraId="239A0510" w14:textId="77777777" w:rsidR="00D27763" w:rsidRDefault="00D27763"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3E39C8" w14:paraId="11C38C3D" w14:textId="77777777" w:rsidTr="00A549ED">
        <w:tc>
          <w:tcPr>
            <w:tcW w:w="12996" w:type="dxa"/>
          </w:tcPr>
          <w:p w14:paraId="66C0E950" w14:textId="77777777" w:rsidR="003E39C8" w:rsidRDefault="003E39C8" w:rsidP="00A549ED">
            <w:pPr>
              <w:jc w:val="center"/>
              <w:rPr>
                <w:b/>
              </w:rPr>
            </w:pPr>
            <w:r>
              <w:rPr>
                <w:b/>
              </w:rPr>
              <w:t xml:space="preserve">Simposio </w:t>
            </w:r>
            <w:r w:rsidR="00AF5FC7">
              <w:rPr>
                <w:b/>
              </w:rPr>
              <w:t>1D</w:t>
            </w:r>
            <w:r>
              <w:rPr>
                <w:b/>
              </w:rPr>
              <w:t>:</w:t>
            </w:r>
            <w:r w:rsidR="00AF5FC7">
              <w:rPr>
                <w:b/>
              </w:rPr>
              <w:t xml:space="preserve"> Colombia, conflicto y procesos de paz</w:t>
            </w:r>
            <w:r>
              <w:rPr>
                <w:b/>
              </w:rPr>
              <w:t xml:space="preserve"> </w:t>
            </w:r>
          </w:p>
        </w:tc>
      </w:tr>
      <w:tr w:rsidR="003E39C8" w14:paraId="051DCDE2" w14:textId="77777777" w:rsidTr="00A549ED">
        <w:trPr>
          <w:trHeight w:val="889"/>
        </w:trPr>
        <w:tc>
          <w:tcPr>
            <w:tcW w:w="12996" w:type="dxa"/>
          </w:tcPr>
          <w:p w14:paraId="15E7C266" w14:textId="77777777" w:rsidR="003E39C8" w:rsidRPr="003239AA" w:rsidRDefault="00537149" w:rsidP="00A549ED">
            <w:pPr>
              <w:jc w:val="center"/>
            </w:pPr>
            <w:r w:rsidRPr="003239AA">
              <w:t>Alejandro Granados-García</w:t>
            </w:r>
          </w:p>
          <w:p w14:paraId="77198C68" w14:textId="77777777" w:rsidR="00537149" w:rsidRPr="003239AA" w:rsidRDefault="00537149" w:rsidP="00A549ED">
            <w:pPr>
              <w:jc w:val="center"/>
            </w:pPr>
            <w:r w:rsidRPr="003239AA">
              <w:t>Pontificia Universidad Javeriana</w:t>
            </w:r>
          </w:p>
          <w:p w14:paraId="2A2C6B51" w14:textId="77777777" w:rsidR="00537149" w:rsidRDefault="00537149" w:rsidP="008A2EDA">
            <w:pPr>
              <w:jc w:val="center"/>
              <w:rPr>
                <w:b/>
              </w:rPr>
            </w:pPr>
            <w:r w:rsidRPr="003239AA">
              <w:t xml:space="preserve">La vivencia del aburrimiento en una investigación doctoral. Reflexiones en torno a la apertura de una hermenéutica de la reintegración de excombatientes en Colombia.  </w:t>
            </w:r>
          </w:p>
        </w:tc>
      </w:tr>
      <w:tr w:rsidR="003E39C8" w14:paraId="5BD14741" w14:textId="77777777" w:rsidTr="00A549ED">
        <w:tc>
          <w:tcPr>
            <w:tcW w:w="12996" w:type="dxa"/>
          </w:tcPr>
          <w:p w14:paraId="63700734" w14:textId="77777777" w:rsidR="003E39C8" w:rsidRPr="00E61B87" w:rsidRDefault="003E39C8" w:rsidP="00A549ED">
            <w:pPr>
              <w:jc w:val="both"/>
            </w:pPr>
            <w:r w:rsidRPr="00F53EF1">
              <w:rPr>
                <w:b/>
              </w:rPr>
              <w:lastRenderedPageBreak/>
              <w:t>Resumen</w:t>
            </w:r>
            <w:r>
              <w:t xml:space="preserve">. </w:t>
            </w:r>
            <w:r w:rsidR="008A2EDA" w:rsidRPr="008A2EDA">
              <w:t>El campo problema en el que se ubica esta investigación doctoral es el de la reintegración de excombatientes y la construcción de paces cotidianas. El objetivo de esta ponencia, a la manera de un ejercicio de reflexividad por parte del investigador, es presentar algunas reflexiones en torno al giro que tomó la investigación a partir de la vivencia del aburrimiento. Como punto de partida, se presentan los elementos centrales de la experiencia vivida con el giro fenomenológico-hermenéutico que tomó la investigación y la manera en que se materializó en una transformación de su estructura. A continuación, se exponen las preguntas y los objetivos que orientan la investigación, así como los elementos centrales del diseño metodológico. Hecho esto, se comparten los avances en el desarrollo del trabajo de campo a la fecha de la presentación. La ponencia cierra con algunas consideraciones éticas que orientan la investigación.</w:t>
            </w:r>
          </w:p>
        </w:tc>
      </w:tr>
      <w:tr w:rsidR="003E39C8" w14:paraId="6332F75D" w14:textId="77777777" w:rsidTr="00A549ED">
        <w:tc>
          <w:tcPr>
            <w:tcW w:w="12996" w:type="dxa"/>
          </w:tcPr>
          <w:p w14:paraId="06A78200" w14:textId="77777777" w:rsidR="003E39C8" w:rsidRPr="00E61B87" w:rsidRDefault="003E39C8" w:rsidP="00A549ED">
            <w:pPr>
              <w:jc w:val="both"/>
            </w:pPr>
          </w:p>
        </w:tc>
      </w:tr>
      <w:tr w:rsidR="003E39C8" w14:paraId="61A35201" w14:textId="77777777" w:rsidTr="00A549ED">
        <w:tc>
          <w:tcPr>
            <w:tcW w:w="12996" w:type="dxa"/>
          </w:tcPr>
          <w:p w14:paraId="3548A1EC" w14:textId="77777777" w:rsidR="003E39C8" w:rsidRDefault="00151DD9" w:rsidP="00A549ED">
            <w:pPr>
              <w:jc w:val="center"/>
            </w:pPr>
            <w:r w:rsidRPr="00151DD9">
              <w:t>María Alejandra Tapia Millán</w:t>
            </w:r>
          </w:p>
          <w:p w14:paraId="3E78AD3B" w14:textId="77777777" w:rsidR="00151DD9" w:rsidRDefault="00151DD9" w:rsidP="00A549ED">
            <w:pPr>
              <w:jc w:val="center"/>
            </w:pPr>
            <w:r w:rsidRPr="00151DD9">
              <w:t>Universidad de los Andes</w:t>
            </w:r>
          </w:p>
          <w:p w14:paraId="369A89C0" w14:textId="77777777" w:rsidR="00151DD9" w:rsidRPr="00E61B87" w:rsidRDefault="00151DD9" w:rsidP="00A549ED">
            <w:pPr>
              <w:jc w:val="center"/>
            </w:pPr>
            <w:r w:rsidRPr="00151DD9">
              <w:t>Poéticas femeninas de una ausencia presente: objetos del recuerdo de personas desaparecidas en Colombia</w:t>
            </w:r>
          </w:p>
        </w:tc>
      </w:tr>
      <w:tr w:rsidR="003E39C8" w14:paraId="4BD46D8C" w14:textId="77777777" w:rsidTr="00A549ED">
        <w:tc>
          <w:tcPr>
            <w:tcW w:w="12996" w:type="dxa"/>
          </w:tcPr>
          <w:p w14:paraId="518DE699" w14:textId="77777777" w:rsidR="003E39C8" w:rsidRDefault="003E39C8" w:rsidP="00151DD9">
            <w:pPr>
              <w:jc w:val="both"/>
            </w:pPr>
            <w:r w:rsidRPr="009704B4">
              <w:rPr>
                <w:b/>
              </w:rPr>
              <w:t>Resumen</w:t>
            </w:r>
            <w:r>
              <w:t xml:space="preserve">. </w:t>
            </w:r>
            <w:r w:rsidR="00151DD9" w:rsidRPr="00151DD9">
              <w:t xml:space="preserve">La desaparición forzada disloca las posibilidades modernas de la representación. Separa identidad y cuerpo, trastoca las formas convencionales del lenguaje, confronta los lugares canónicos de la psicología y plantea interrogantes profundos en lo epistemológico, lo ético, lo político y lo ontológico. Una manera de abordar este asunto consiste en acercarse a las formas del recuerdo de los desaparecidos, a partir de las relaciones que establecen los familiares y las comunidades con su ontología espectral en las maneras de gestionar estas ausencias presentes. Particularmente, los objetos del recuerdo adquieren un estatuto fundamental ya que estos encarnan la inmaterialidad presente del espectro y la materialidad ausente del cuerpo de los desaparecidos. Ahora bien, son en su mayoría las mujeres quienes denuncian las atrocidades de la desaparición forzada, exigen justicia, reivindican los ejercicios de memoria y hacen retumbar de manera fantasmal poética las ausencias presentes de los desaparecidos a través de sus objetos. De esta manera, esta investigación doctoral tiene como objetivo analizar las formas del recuerdo a través de objetos materiales de parejas íntimas de desaparecidos, para lo cual se plantea una metodología de tipo cualitativo, con enfoque participativo, sociocrítico y transdisciplinar. Específicamente, para el trabajo con las sujetas participantes se utilizarán el método etnográfico digital y los instrumentos </w:t>
            </w:r>
            <w:proofErr w:type="spellStart"/>
            <w:r w:rsidR="00151DD9" w:rsidRPr="00151DD9">
              <w:t>fotovoz</w:t>
            </w:r>
            <w:proofErr w:type="spellEnd"/>
            <w:r w:rsidR="00151DD9" w:rsidRPr="00151DD9">
              <w:t xml:space="preserve"> y entrevistas semiestructuradas.</w:t>
            </w:r>
          </w:p>
        </w:tc>
      </w:tr>
      <w:tr w:rsidR="000E14F1" w14:paraId="2EC18B77" w14:textId="77777777" w:rsidTr="00A549ED">
        <w:tc>
          <w:tcPr>
            <w:tcW w:w="12996" w:type="dxa"/>
          </w:tcPr>
          <w:p w14:paraId="2F7B7844" w14:textId="77777777" w:rsidR="000E14F1" w:rsidRPr="009704B4" w:rsidRDefault="000E14F1" w:rsidP="00151DD9">
            <w:pPr>
              <w:jc w:val="both"/>
              <w:rPr>
                <w:b/>
              </w:rPr>
            </w:pPr>
          </w:p>
        </w:tc>
      </w:tr>
      <w:tr w:rsidR="000E14F1" w14:paraId="5A2CD187" w14:textId="77777777" w:rsidTr="00A549ED">
        <w:tc>
          <w:tcPr>
            <w:tcW w:w="12996" w:type="dxa"/>
          </w:tcPr>
          <w:p w14:paraId="52102800" w14:textId="77777777" w:rsidR="000E14F1" w:rsidRPr="00514D64" w:rsidRDefault="000E14F1" w:rsidP="000E14F1">
            <w:pPr>
              <w:jc w:val="center"/>
            </w:pPr>
            <w:r w:rsidRPr="00514D64">
              <w:t xml:space="preserve">Andrea Mojica </w:t>
            </w:r>
            <w:proofErr w:type="spellStart"/>
            <w:r w:rsidRPr="00514D64">
              <w:t>Mojica</w:t>
            </w:r>
            <w:proofErr w:type="spellEnd"/>
          </w:p>
          <w:p w14:paraId="50DB64B0" w14:textId="77777777" w:rsidR="00514D64" w:rsidRPr="00514D64" w:rsidRDefault="00514D64" w:rsidP="000E14F1">
            <w:pPr>
              <w:jc w:val="center"/>
            </w:pPr>
            <w:r w:rsidRPr="00514D64">
              <w:t>Universidad Nacional de Colombia</w:t>
            </w:r>
          </w:p>
          <w:p w14:paraId="0BB281DE" w14:textId="77777777" w:rsidR="00514D64" w:rsidRPr="009704B4" w:rsidRDefault="00514D64" w:rsidP="00514D64">
            <w:pPr>
              <w:jc w:val="center"/>
              <w:rPr>
                <w:b/>
              </w:rPr>
            </w:pPr>
            <w:r w:rsidRPr="00514D64">
              <w:t>Análisis del papel de las emociones morales en los procesos de inclusión social de las víctimas del conflicto armado en Colombia</w:t>
            </w:r>
          </w:p>
        </w:tc>
      </w:tr>
      <w:tr w:rsidR="000E14F1" w14:paraId="320CA840" w14:textId="77777777" w:rsidTr="00A549ED">
        <w:tc>
          <w:tcPr>
            <w:tcW w:w="12996" w:type="dxa"/>
          </w:tcPr>
          <w:p w14:paraId="046F0482" w14:textId="77777777" w:rsidR="00514D64" w:rsidRPr="009704B4" w:rsidRDefault="00514D64" w:rsidP="00944E14">
            <w:pPr>
              <w:jc w:val="both"/>
              <w:rPr>
                <w:b/>
              </w:rPr>
            </w:pPr>
            <w:r>
              <w:rPr>
                <w:b/>
              </w:rPr>
              <w:t xml:space="preserve">Resumen. </w:t>
            </w:r>
            <w:r w:rsidR="00944E14" w:rsidRPr="00944E14">
              <w:t xml:space="preserve">Las emociones morales son definidas como el conjunto de reacciones y/o respuestas subjetivas frente a situaciones referidas al bienestar, el daño, la justicia que se consideran esenciales para el mantenimiento de la cultura y el orden social. Tomando como referente la teoría evaluativa-valorativa de Martha Nussbaum se propone establecer la relación entre la emergencia de emociones morales como la empatía, la </w:t>
            </w:r>
            <w:r w:rsidR="00944E14" w:rsidRPr="00944E14">
              <w:lastRenderedPageBreak/>
              <w:t>compasión, la culpa, la vergüenza en miembros de organizaciones gubernamentales y no gubernamentales involucrados en la implementación de programas de restitución de derechos y el desarrollo de prácticas de inclusión y exclusión social hacia víctimas del conflicto armado.</w:t>
            </w:r>
          </w:p>
        </w:tc>
      </w:tr>
      <w:tr w:rsidR="00E52B48" w14:paraId="3E85CC1D" w14:textId="77777777" w:rsidTr="00A549ED">
        <w:tc>
          <w:tcPr>
            <w:tcW w:w="12996" w:type="dxa"/>
          </w:tcPr>
          <w:p w14:paraId="2A9F5B7E" w14:textId="77777777" w:rsidR="00E52B48" w:rsidRDefault="00E52B48" w:rsidP="00944E14">
            <w:pPr>
              <w:jc w:val="both"/>
              <w:rPr>
                <w:b/>
              </w:rPr>
            </w:pPr>
          </w:p>
        </w:tc>
      </w:tr>
      <w:tr w:rsidR="00E52B48" w14:paraId="5EC4B741" w14:textId="77777777" w:rsidTr="00A549ED">
        <w:tc>
          <w:tcPr>
            <w:tcW w:w="12996" w:type="dxa"/>
          </w:tcPr>
          <w:p w14:paraId="2DF4381F" w14:textId="77777777" w:rsidR="00F64F50" w:rsidRPr="00604081" w:rsidRDefault="00F64F50" w:rsidP="00F64F50">
            <w:pPr>
              <w:jc w:val="center"/>
            </w:pPr>
            <w:r w:rsidRPr="00604081">
              <w:t>Edith Hernández Narváez</w:t>
            </w:r>
          </w:p>
          <w:p w14:paraId="0D19D0F6" w14:textId="77777777" w:rsidR="00F64F50" w:rsidRPr="00604081" w:rsidRDefault="00F64F50" w:rsidP="00F64F50">
            <w:pPr>
              <w:jc w:val="center"/>
            </w:pPr>
            <w:r w:rsidRPr="00604081">
              <w:t>Universidad San Buenaventura de Cali</w:t>
            </w:r>
          </w:p>
          <w:p w14:paraId="32721CB9" w14:textId="77777777" w:rsidR="00E52B48" w:rsidRDefault="00F64F50" w:rsidP="00F64F50">
            <w:pPr>
              <w:jc w:val="center"/>
              <w:rPr>
                <w:b/>
              </w:rPr>
            </w:pPr>
            <w:r w:rsidRPr="00604081">
              <w:t>Experiencia moral y verdad del conflicto en el proceso de paz colombiano. Una perspectiva ética desde las narrativas de líderes sociales</w:t>
            </w:r>
          </w:p>
        </w:tc>
      </w:tr>
      <w:tr w:rsidR="00E52B48" w14:paraId="78B364AA" w14:textId="77777777" w:rsidTr="00A549ED">
        <w:tc>
          <w:tcPr>
            <w:tcW w:w="12996" w:type="dxa"/>
          </w:tcPr>
          <w:p w14:paraId="3BB70E7B" w14:textId="77777777" w:rsidR="00E52B48" w:rsidRDefault="00E52B48" w:rsidP="00944E14">
            <w:pPr>
              <w:jc w:val="both"/>
              <w:rPr>
                <w:b/>
              </w:rPr>
            </w:pPr>
            <w:r>
              <w:rPr>
                <w:b/>
              </w:rPr>
              <w:t xml:space="preserve">Resumen. </w:t>
            </w:r>
            <w:r w:rsidR="00F64F50" w:rsidRPr="00F64F50">
              <w:t>El contexto de implementación del Acuerdo Final de Paz (AFP) del 2016, especialmente el punto sobre Víctimas, Sistema Integral de Verdad, Justicia, Reparación y No Repetición, ha suscitado en los actores, experiencias morales, emociones, juicios y conflictos, frente a la verdad revelada por los responsables, generando tensiones individuales y colectivas. Objetivo: Comprender la experiencia moral de los líderes sociales, frente a la revelación de verdades por parte de los responsables del conflicto armado interno, durante la implementación del acuerdo sobre víctimas; por lo que se busca analizar el fenómeno desde una perspectiva ética. Método: Investigación cualitativa, de corte fenomenológico. Participantes: líderes sociales defensores de derechos humanos de Nariño- Colombia. Resultados esperados: La experiencia moral de los participantes frente a la verdad del conflicto armado interno involucra emociones, juicios y conflictos morales diversos, compatibles e incompatibles socialmente con perspectivas sobre cultura de paz, planteando desafíos complejos y escenarios de incertidumbre moral.</w:t>
            </w:r>
          </w:p>
        </w:tc>
      </w:tr>
    </w:tbl>
    <w:p w14:paraId="1529C1C0" w14:textId="77777777" w:rsidR="003E39C8" w:rsidRDefault="00F71E42" w:rsidP="00F71E42">
      <w:pPr>
        <w:spacing w:line="240" w:lineRule="auto"/>
        <w:rPr>
          <w:b/>
        </w:rPr>
      </w:pPr>
      <w:r>
        <w:rPr>
          <w:b/>
        </w:rPr>
        <w:t>2:00p.m. – 4:00 p.m.</w:t>
      </w:r>
    </w:p>
    <w:tbl>
      <w:tblPr>
        <w:tblStyle w:val="Tablaconcuadrcula"/>
        <w:tblW w:w="0" w:type="auto"/>
        <w:tblLook w:val="04A0" w:firstRow="1" w:lastRow="0" w:firstColumn="1" w:lastColumn="0" w:noHBand="0" w:noVBand="1"/>
      </w:tblPr>
      <w:tblGrid>
        <w:gridCol w:w="8828"/>
      </w:tblGrid>
      <w:tr w:rsidR="00537149" w14:paraId="126A74D9" w14:textId="77777777" w:rsidTr="00A549ED">
        <w:tc>
          <w:tcPr>
            <w:tcW w:w="12996" w:type="dxa"/>
          </w:tcPr>
          <w:p w14:paraId="7DFA9D1E" w14:textId="77777777" w:rsidR="00537149" w:rsidRDefault="00537149" w:rsidP="00A549ED">
            <w:pPr>
              <w:jc w:val="center"/>
              <w:rPr>
                <w:b/>
              </w:rPr>
            </w:pPr>
            <w:r>
              <w:rPr>
                <w:b/>
              </w:rPr>
              <w:t xml:space="preserve">Simposio </w:t>
            </w:r>
            <w:r w:rsidR="00172661">
              <w:rPr>
                <w:b/>
              </w:rPr>
              <w:t>2A</w:t>
            </w:r>
            <w:r>
              <w:rPr>
                <w:b/>
              </w:rPr>
              <w:t xml:space="preserve">: </w:t>
            </w:r>
            <w:proofErr w:type="spellStart"/>
            <w:r w:rsidR="00AC3C15">
              <w:rPr>
                <w:b/>
              </w:rPr>
              <w:t>Telepsicología</w:t>
            </w:r>
            <w:proofErr w:type="spellEnd"/>
            <w:r w:rsidR="00AC3C15">
              <w:rPr>
                <w:b/>
              </w:rPr>
              <w:t>: algunas aproximaciones a la intervención y la recolección de datos</w:t>
            </w:r>
          </w:p>
        </w:tc>
      </w:tr>
      <w:tr w:rsidR="00537149" w14:paraId="65704C7F" w14:textId="77777777" w:rsidTr="00A549ED">
        <w:trPr>
          <w:trHeight w:val="889"/>
        </w:trPr>
        <w:tc>
          <w:tcPr>
            <w:tcW w:w="12996" w:type="dxa"/>
          </w:tcPr>
          <w:p w14:paraId="19116082" w14:textId="77777777" w:rsidR="00172661" w:rsidRPr="00172661" w:rsidRDefault="00172661" w:rsidP="00172661">
            <w:pPr>
              <w:jc w:val="center"/>
            </w:pPr>
            <w:r w:rsidRPr="00172661">
              <w:t>Marco Alejandro Sierra Martínez</w:t>
            </w:r>
          </w:p>
          <w:p w14:paraId="4AB00D21" w14:textId="77777777" w:rsidR="00537149" w:rsidRDefault="00172661" w:rsidP="00172661">
            <w:pPr>
              <w:jc w:val="center"/>
            </w:pPr>
            <w:r w:rsidRPr="00172661">
              <w:t>Universidad Católica de Colombia</w:t>
            </w:r>
          </w:p>
          <w:p w14:paraId="5EF483C7" w14:textId="77777777" w:rsidR="00172661" w:rsidRPr="00172661" w:rsidRDefault="00172661" w:rsidP="00172661">
            <w:pPr>
              <w:jc w:val="center"/>
            </w:pPr>
            <w:r w:rsidRPr="00172661">
              <w:t>Efectividad de un programa de auto-ayuda en línea basado en la terapia de aceptación y compromiso sobre los síntomas emocionales de adultos jóvenes</w:t>
            </w:r>
          </w:p>
        </w:tc>
      </w:tr>
      <w:tr w:rsidR="00537149" w14:paraId="754910E6" w14:textId="77777777" w:rsidTr="00A549ED">
        <w:tc>
          <w:tcPr>
            <w:tcW w:w="12996" w:type="dxa"/>
          </w:tcPr>
          <w:p w14:paraId="203390DC" w14:textId="77777777" w:rsidR="00537149" w:rsidRPr="00E61B87" w:rsidRDefault="00537149" w:rsidP="007F35F2">
            <w:pPr>
              <w:jc w:val="both"/>
            </w:pPr>
            <w:r w:rsidRPr="00F53EF1">
              <w:rPr>
                <w:b/>
              </w:rPr>
              <w:t>Resumen</w:t>
            </w:r>
            <w:r>
              <w:t xml:space="preserve">. </w:t>
            </w:r>
            <w:r w:rsidR="007F35F2">
              <w:t xml:space="preserve">Las intervenciones psicológicas en-línea (OPI) son consideradas a nivel mundial como alternativas legítimas e innovadoras frente a la psicoterapia tradicional. Esta ponencia presenta los resultados preliminares de la aplicación de una OPI basada en la Terapia de Aceptación y Compromiso (ACT), que fomenta la flexibilidad y el bienestar psicológico en adultos jóvenes (entre 18 y 39 años) con sintomatología emocional. La investigación en curso sigue la lógica de un ensayo clínico abierto (Open Trial) de dos brazos (apoyo guiado vs. apoyo mínimo) con medidas repetidas en una línea de base múltiple no concurrente entre participantes. La OPI consta de tres módulos no interactivos y asincrónicos con: 6 horas de contenido multimedia, ejercicios experienciales y de expresión escrita en los cuales el usuario trabaja de forma autónoma para fomentar su flexibilidad psicológica. Resultados preliminares indican que el programa ha sido calificado como claro, útil y agradable por los participantes. Cuatro de los que han finalizado el programa hasta el momento han evidenciado cambios </w:t>
            </w:r>
            <w:r w:rsidR="007F35F2">
              <w:lastRenderedPageBreak/>
              <w:t>favorables en sus niveles de síntomas emocionales y flexibilidad psicológica que se mantienen en el tiempo tras dos meses. Adicionalmente cinco casos más evidenciaron ese tipo de cambios en el seguimiento a corto plazo realizado tras un mes.</w:t>
            </w:r>
          </w:p>
        </w:tc>
      </w:tr>
      <w:tr w:rsidR="00537149" w14:paraId="7DC6F4A7" w14:textId="77777777" w:rsidTr="00A549ED">
        <w:tc>
          <w:tcPr>
            <w:tcW w:w="12996" w:type="dxa"/>
          </w:tcPr>
          <w:p w14:paraId="0F1A449D" w14:textId="77777777" w:rsidR="00537149" w:rsidRPr="00E61B87" w:rsidRDefault="00537149" w:rsidP="00A549ED">
            <w:pPr>
              <w:jc w:val="both"/>
            </w:pPr>
          </w:p>
        </w:tc>
      </w:tr>
      <w:tr w:rsidR="00537149" w14:paraId="5318B8E7" w14:textId="77777777" w:rsidTr="00A549ED">
        <w:tc>
          <w:tcPr>
            <w:tcW w:w="12996" w:type="dxa"/>
          </w:tcPr>
          <w:p w14:paraId="54A49EA8" w14:textId="77777777" w:rsidR="00121B1D" w:rsidRDefault="00121B1D" w:rsidP="00121B1D">
            <w:pPr>
              <w:jc w:val="center"/>
            </w:pPr>
            <w:r w:rsidRPr="00121B1D">
              <w:t>Javier Andrés Gómez Díaz</w:t>
            </w:r>
          </w:p>
          <w:p w14:paraId="4A6773C3" w14:textId="77777777" w:rsidR="00537149" w:rsidRDefault="00121B1D" w:rsidP="00121B1D">
            <w:pPr>
              <w:jc w:val="center"/>
            </w:pPr>
            <w:r w:rsidRPr="00121B1D">
              <w:t>Universidad Santo Tomás</w:t>
            </w:r>
          </w:p>
          <w:p w14:paraId="7DD0ECC8" w14:textId="77777777" w:rsidR="00121B1D" w:rsidRPr="00E61B87" w:rsidRDefault="00121B1D" w:rsidP="00121B1D">
            <w:pPr>
              <w:jc w:val="center"/>
            </w:pPr>
            <w:r w:rsidRPr="00121B1D">
              <w:t xml:space="preserve">Diseño y validación de un protocolo de atención </w:t>
            </w:r>
            <w:proofErr w:type="spellStart"/>
            <w:r w:rsidRPr="00121B1D">
              <w:t>telepsicológica</w:t>
            </w:r>
            <w:proofErr w:type="spellEnd"/>
            <w:r w:rsidRPr="00121B1D">
              <w:t>: resultados preliminares</w:t>
            </w:r>
          </w:p>
        </w:tc>
      </w:tr>
      <w:tr w:rsidR="00537149" w14:paraId="61423D0D" w14:textId="77777777" w:rsidTr="00A549ED">
        <w:tc>
          <w:tcPr>
            <w:tcW w:w="12996" w:type="dxa"/>
          </w:tcPr>
          <w:p w14:paraId="767A66AF" w14:textId="77777777" w:rsidR="00121B1D" w:rsidRDefault="00537149" w:rsidP="00121B1D">
            <w:pPr>
              <w:jc w:val="both"/>
            </w:pPr>
            <w:r w:rsidRPr="009704B4">
              <w:rPr>
                <w:b/>
              </w:rPr>
              <w:t>Resumen</w:t>
            </w:r>
            <w:r>
              <w:t>.</w:t>
            </w:r>
          </w:p>
          <w:p w14:paraId="50C22F93" w14:textId="77777777" w:rsidR="00121B1D" w:rsidRDefault="005E7E05" w:rsidP="00121B1D">
            <w:pPr>
              <w:jc w:val="both"/>
            </w:pPr>
            <w:r>
              <w:t>Problema. D</w:t>
            </w:r>
            <w:r w:rsidR="00121B1D">
              <w:t xml:space="preserve">ado el incremento en la demanda de servicios </w:t>
            </w:r>
            <w:proofErr w:type="spellStart"/>
            <w:r w:rsidR="00121B1D">
              <w:t>telepsicológicos</w:t>
            </w:r>
            <w:proofErr w:type="spellEnd"/>
            <w:r w:rsidR="00121B1D">
              <w:t xml:space="preserve">, no solo por las circunstancias de la pandemia, sino por la tendencia a la virtualidad de las nuevas generaciones, se propone diseñar y validar un protocolo de atención </w:t>
            </w:r>
            <w:proofErr w:type="spellStart"/>
            <w:r w:rsidR="00121B1D">
              <w:t>telepsicológica</w:t>
            </w:r>
            <w:proofErr w:type="spellEnd"/>
            <w:r w:rsidR="00121B1D">
              <w:t xml:space="preserve"> para adultos, como objetivo principal, ya que las diferentes guías propuestas por los diferentes entes regulatorios de nuestra profesión se basan en discusiones profesionales, pero carecen de un ejercicio investigativo que compile valide y tales propuestas en un protocolo.</w:t>
            </w:r>
          </w:p>
          <w:p w14:paraId="44A7F8BD" w14:textId="77777777" w:rsidR="00121B1D" w:rsidRDefault="00121B1D" w:rsidP="00121B1D">
            <w:pPr>
              <w:jc w:val="both"/>
            </w:pPr>
            <w:r>
              <w:t xml:space="preserve">Método: </w:t>
            </w:r>
          </w:p>
          <w:p w14:paraId="7AFE386F" w14:textId="77777777" w:rsidR="00121B1D" w:rsidRDefault="00121B1D" w:rsidP="00121B1D">
            <w:pPr>
              <w:jc w:val="both"/>
            </w:pPr>
            <w:r>
              <w:t>Diseño: Es un estudio mixto (</w:t>
            </w:r>
            <w:proofErr w:type="spellStart"/>
            <w:r>
              <w:t>cuali</w:t>
            </w:r>
            <w:proofErr w:type="spellEnd"/>
            <w:r>
              <w:t xml:space="preserve">-cuantitativo secuencial) que, con base en la revisión sistematizada efectuada como insumo para el presente proyecto doctoral, pretende validar las categorías de análisis que sustentan el protocolo de atención </w:t>
            </w:r>
            <w:proofErr w:type="spellStart"/>
            <w:r>
              <w:t>telepsicológica</w:t>
            </w:r>
            <w:proofErr w:type="spellEnd"/>
            <w:r>
              <w:t>.</w:t>
            </w:r>
          </w:p>
          <w:p w14:paraId="05C7E8FF" w14:textId="77777777" w:rsidR="00121B1D" w:rsidRDefault="00121B1D" w:rsidP="00121B1D">
            <w:pPr>
              <w:jc w:val="both"/>
            </w:pPr>
            <w:r>
              <w:t xml:space="preserve">Sujetos y Procedimiento: Fase cualitativa: expertos de diversos enfoques paradigmas que apliquen la </w:t>
            </w:r>
            <w:proofErr w:type="spellStart"/>
            <w:r>
              <w:t>telepsicología</w:t>
            </w:r>
            <w:proofErr w:type="spellEnd"/>
            <w:r>
              <w:t xml:space="preserve"> como alternativa de atención psicoterapéutica, con quienes se organizará secuencialmente el protocolo. Fase cuantitativa: se pondrá a prueba, luego de un entrenamiento para su aplicación, con una muestra de practicantes de psicología clínica, solicitando a los pacientes/consultantes seleccionados el diligenciamiento de una lista de chequeo que verifique el uso del protocolo, junto con una encuesta de satisfacción basada en su uso.</w:t>
            </w:r>
          </w:p>
        </w:tc>
      </w:tr>
      <w:tr w:rsidR="000D3937" w14:paraId="6A98B2AE" w14:textId="77777777" w:rsidTr="00A549ED">
        <w:tc>
          <w:tcPr>
            <w:tcW w:w="12996" w:type="dxa"/>
          </w:tcPr>
          <w:p w14:paraId="452D0153" w14:textId="77777777" w:rsidR="000D3937" w:rsidRPr="009704B4" w:rsidRDefault="000D3937" w:rsidP="00121B1D">
            <w:pPr>
              <w:jc w:val="both"/>
              <w:rPr>
                <w:b/>
              </w:rPr>
            </w:pPr>
          </w:p>
        </w:tc>
      </w:tr>
      <w:tr w:rsidR="000D3937" w14:paraId="4AEAF393" w14:textId="77777777" w:rsidTr="00A549ED">
        <w:tc>
          <w:tcPr>
            <w:tcW w:w="12996" w:type="dxa"/>
          </w:tcPr>
          <w:p w14:paraId="7F0B9BC4" w14:textId="77777777" w:rsidR="000D3937" w:rsidRPr="000D3937" w:rsidRDefault="000D3937" w:rsidP="000D3937">
            <w:pPr>
              <w:jc w:val="center"/>
            </w:pPr>
            <w:r w:rsidRPr="000D3937">
              <w:t>Lizeth Cristina Martínez Baquero</w:t>
            </w:r>
          </w:p>
          <w:p w14:paraId="7B63B73E" w14:textId="77777777" w:rsidR="000D3937" w:rsidRDefault="000D3937" w:rsidP="000D3937">
            <w:pPr>
              <w:jc w:val="center"/>
            </w:pPr>
            <w:r w:rsidRPr="000D3937">
              <w:t>Fundación Universitaria Konrad Lorenz</w:t>
            </w:r>
          </w:p>
          <w:p w14:paraId="3B79CE45" w14:textId="77777777" w:rsidR="000D3937" w:rsidRPr="009704B4" w:rsidRDefault="000D3937" w:rsidP="000D3937">
            <w:pPr>
              <w:jc w:val="center"/>
              <w:rPr>
                <w:b/>
              </w:rPr>
            </w:pPr>
            <w:r w:rsidRPr="000D3937">
              <w:t>Sexismo en Colombia</w:t>
            </w:r>
          </w:p>
        </w:tc>
      </w:tr>
      <w:tr w:rsidR="000D3937" w14:paraId="3897893D" w14:textId="77777777" w:rsidTr="00A549ED">
        <w:tc>
          <w:tcPr>
            <w:tcW w:w="12996" w:type="dxa"/>
          </w:tcPr>
          <w:p w14:paraId="328F2552" w14:textId="77777777" w:rsidR="000D3937" w:rsidRPr="009704B4" w:rsidRDefault="000D3937" w:rsidP="007600FD">
            <w:pPr>
              <w:jc w:val="both"/>
              <w:rPr>
                <w:b/>
              </w:rPr>
            </w:pPr>
            <w:r>
              <w:rPr>
                <w:b/>
              </w:rPr>
              <w:t>Resumen</w:t>
            </w:r>
            <w:r w:rsidRPr="007600FD">
              <w:t xml:space="preserve">. </w:t>
            </w:r>
            <w:r w:rsidR="007600FD" w:rsidRPr="007600FD">
              <w:t xml:space="preserve">La actitud de género, roles sexuales o de género y el sexismo, han establecido diferencias en diversos aspectos de la vida de las personas, y de su interacción, y particularmente en uno muy importante y poco estudiado: la salud sexual. Las diferencias en la amplificación o supresión de las necesidades de seguridad relacional alimentan la adopción de creencias que mantienen la desigualdad de género en todo el mundo (Fisher &amp; </w:t>
            </w:r>
            <w:proofErr w:type="spellStart"/>
            <w:r w:rsidR="007600FD" w:rsidRPr="007600FD">
              <w:t>Hammond</w:t>
            </w:r>
            <w:proofErr w:type="spellEnd"/>
            <w:r w:rsidR="007600FD" w:rsidRPr="007600FD">
              <w:t>, 2019) y afectan la vivencia de una sexualidad saludable tanto en hombres como mujeres.</w:t>
            </w:r>
            <w:r w:rsidR="007600FD">
              <w:t xml:space="preserve"> </w:t>
            </w:r>
            <w:r w:rsidR="007600FD" w:rsidRPr="007600FD">
              <w:t>El sexismo es un prejuicio que combina de forma única componentes individuales, intergrupales, ideológicos, aspectos fisiológicos y psicológicos, individuales que emergen en la interacción grupal y de pareja (</w:t>
            </w:r>
            <w:proofErr w:type="spellStart"/>
            <w:r w:rsidR="007600FD" w:rsidRPr="007600FD">
              <w:t>Laumann</w:t>
            </w:r>
            <w:proofErr w:type="spellEnd"/>
            <w:r w:rsidR="007600FD" w:rsidRPr="007600FD">
              <w:t xml:space="preserve">, </w:t>
            </w:r>
            <w:proofErr w:type="spellStart"/>
            <w:r w:rsidR="007600FD" w:rsidRPr="007600FD">
              <w:t>Paik</w:t>
            </w:r>
            <w:proofErr w:type="spellEnd"/>
            <w:r w:rsidR="007600FD" w:rsidRPr="007600FD">
              <w:t xml:space="preserve"> &amp; Rosen, 1999). El objetivo del primer estudio de la presente tesis doctoral busca identificar aspectos del Sexismo Ambivalente (</w:t>
            </w:r>
            <w:proofErr w:type="spellStart"/>
            <w:r w:rsidR="007600FD" w:rsidRPr="007600FD">
              <w:t>Glick</w:t>
            </w:r>
            <w:proofErr w:type="spellEnd"/>
            <w:r w:rsidR="007600FD" w:rsidRPr="007600FD">
              <w:t xml:space="preserve"> &amp; Fiske) Hostil y Benevolente hacia mujeres y hombres colombianos. A partir del análisis de datos de una muestra de 716 participantes de 120 municipios de Colombia, usando Web </w:t>
            </w:r>
            <w:proofErr w:type="spellStart"/>
            <w:r w:rsidR="007600FD" w:rsidRPr="007600FD">
              <w:t>Based</w:t>
            </w:r>
            <w:proofErr w:type="spellEnd"/>
            <w:r w:rsidR="007600FD" w:rsidRPr="007600FD">
              <w:t xml:space="preserve"> </w:t>
            </w:r>
            <w:proofErr w:type="spellStart"/>
            <w:r w:rsidR="007600FD" w:rsidRPr="007600FD">
              <w:t>Survey</w:t>
            </w:r>
            <w:proofErr w:type="spellEnd"/>
            <w:r w:rsidR="007600FD" w:rsidRPr="007600FD">
              <w:t xml:space="preserve">. Los resultados muestran el papel crucial de la escolaridad en la exhibición de creencias sexistas hostiles hacia las mujeres </w:t>
            </w:r>
            <w:r w:rsidR="007600FD" w:rsidRPr="007600FD">
              <w:lastRenderedPageBreak/>
              <w:t>y los hombres. Y la persistencia de la inclinación hacia los roles tradicionales de género especialmente por parte del grupo masculino. Evidenciando la influencia de las manifestaciones de la inequidad entre los sexos en nuestro País.</w:t>
            </w:r>
            <w:r w:rsidR="007600FD">
              <w:t xml:space="preserve"> </w:t>
            </w:r>
          </w:p>
        </w:tc>
      </w:tr>
    </w:tbl>
    <w:p w14:paraId="2878C9D2" w14:textId="77777777" w:rsidR="003E39C8" w:rsidRDefault="003E39C8" w:rsidP="003440DC">
      <w:pPr>
        <w:spacing w:line="240" w:lineRule="auto"/>
        <w:jc w:val="center"/>
        <w:rPr>
          <w:b/>
        </w:rPr>
      </w:pPr>
    </w:p>
    <w:p w14:paraId="3CE33CE7" w14:textId="77777777" w:rsidR="00427741" w:rsidRDefault="00427741"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4A3B97" w14:paraId="5E018D0D" w14:textId="77777777" w:rsidTr="004A3B97">
        <w:tc>
          <w:tcPr>
            <w:tcW w:w="12996" w:type="dxa"/>
          </w:tcPr>
          <w:p w14:paraId="74A44BEC" w14:textId="77777777" w:rsidR="004A3B97" w:rsidRDefault="004A3B97" w:rsidP="003440DC">
            <w:pPr>
              <w:jc w:val="center"/>
              <w:rPr>
                <w:b/>
              </w:rPr>
            </w:pPr>
            <w:r>
              <w:rPr>
                <w:b/>
              </w:rPr>
              <w:t>Simposio 2B</w:t>
            </w:r>
            <w:r w:rsidR="008F6575">
              <w:rPr>
                <w:b/>
              </w:rPr>
              <w:t>: Enfermedades de Alzheimer y Parkinson: avances en su comprensión</w:t>
            </w:r>
          </w:p>
        </w:tc>
      </w:tr>
      <w:tr w:rsidR="004A3B97" w14:paraId="21E9B45B" w14:textId="77777777" w:rsidTr="004A3B97">
        <w:tc>
          <w:tcPr>
            <w:tcW w:w="12996" w:type="dxa"/>
          </w:tcPr>
          <w:p w14:paraId="7C8D1059" w14:textId="77777777" w:rsidR="00572263" w:rsidRPr="00572263" w:rsidRDefault="00572263" w:rsidP="003440DC">
            <w:pPr>
              <w:jc w:val="center"/>
            </w:pPr>
            <w:r w:rsidRPr="00572263">
              <w:rPr>
                <w:b/>
              </w:rPr>
              <w:tab/>
            </w:r>
            <w:r w:rsidRPr="00572263">
              <w:t xml:space="preserve">Eliana Henao Arboleda </w:t>
            </w:r>
          </w:p>
          <w:p w14:paraId="4AB9245C" w14:textId="77777777" w:rsidR="004A3B97" w:rsidRPr="00572263" w:rsidRDefault="00572263" w:rsidP="003440DC">
            <w:pPr>
              <w:jc w:val="center"/>
            </w:pPr>
            <w:r w:rsidRPr="00572263">
              <w:t>Universidad de San Buenaventura – Medellín</w:t>
            </w:r>
          </w:p>
          <w:p w14:paraId="3BB4CB58" w14:textId="77777777" w:rsidR="00572263" w:rsidRDefault="00572263" w:rsidP="00572263">
            <w:pPr>
              <w:jc w:val="center"/>
              <w:rPr>
                <w:b/>
              </w:rPr>
            </w:pPr>
            <w:r w:rsidRPr="00572263">
              <w:t>Componentes de la Memoria episódica en estados Preclínicos de la enfermedad de Alzheimer familiar con la mutación E280A en PSEN1</w:t>
            </w:r>
          </w:p>
        </w:tc>
      </w:tr>
      <w:tr w:rsidR="004A3B97" w14:paraId="53FE1E40" w14:textId="77777777" w:rsidTr="004A3B97">
        <w:tc>
          <w:tcPr>
            <w:tcW w:w="12996" w:type="dxa"/>
          </w:tcPr>
          <w:p w14:paraId="1DB8C22E" w14:textId="77777777" w:rsidR="004A3B97" w:rsidRDefault="001A032E" w:rsidP="001A032E">
            <w:pPr>
              <w:jc w:val="both"/>
              <w:rPr>
                <w:b/>
              </w:rPr>
            </w:pPr>
            <w:r>
              <w:rPr>
                <w:b/>
              </w:rPr>
              <w:t xml:space="preserve">Resumen. </w:t>
            </w:r>
            <w:r w:rsidR="00572263" w:rsidRPr="001A032E">
              <w:t>La enfermedad de Alzheimer (EA) se define como un continuo que empieza con una fase asintomática en presencia de biomarcadores patológicos, su etiología es multifactorial y el riesgo de aparición aumenta con la edad y se manifiesta con alteración del funcionamiento cognitivo que en su fase inicial puede cursar con deterioro de la memoria episódica (ME).  Aportar nuevos elementos en la exploración de la ME puede facilitar el diagnóstico de cambios lo más temprano posible.  El estudio de otros componentes de la ME como marcador cognitivo, estudiando no sólo “el qué sucedió” (contenido), sino los otros componentes, como “el dónde” (espacio) y “el cuándo” (tiempo) se almacenó la información, puede contribuir en la identificación de alteraciones especificas en la fase preclínica de la EA.  La muestra quedó conformada por 70 participantes, 33 portadores y 37 No portadores mutación e280a en la Presenilina-1 con una media de edad de 33 años y 12.3 años de escolaridad a los que se les aplicó las tareas “</w:t>
            </w:r>
            <w:proofErr w:type="spellStart"/>
            <w:r w:rsidR="00572263" w:rsidRPr="001A032E">
              <w:t>Room</w:t>
            </w:r>
            <w:proofErr w:type="spellEnd"/>
            <w:r w:rsidR="00572263" w:rsidRPr="001A032E">
              <w:t>” y “cuando”.  Se espera establecer sí se presentan diferencias, y de qué tipo, en los 3 componentes de la ME, entre portadores y no portadores asintomáticos pertenecientes al grupo de Enfermedad de Alzheimer familiar temprano.</w:t>
            </w:r>
            <w:r w:rsidR="00572263" w:rsidRPr="00572263">
              <w:rPr>
                <w:b/>
              </w:rPr>
              <w:t xml:space="preserve"> </w:t>
            </w:r>
          </w:p>
        </w:tc>
      </w:tr>
      <w:tr w:rsidR="00A23424" w14:paraId="37D6DCF5" w14:textId="77777777" w:rsidTr="004A3B97">
        <w:tc>
          <w:tcPr>
            <w:tcW w:w="12996" w:type="dxa"/>
          </w:tcPr>
          <w:p w14:paraId="56DB5849" w14:textId="77777777" w:rsidR="00A23424" w:rsidRDefault="00A23424" w:rsidP="001A032E">
            <w:pPr>
              <w:jc w:val="both"/>
              <w:rPr>
                <w:b/>
              </w:rPr>
            </w:pPr>
          </w:p>
        </w:tc>
      </w:tr>
      <w:tr w:rsidR="00A23424" w14:paraId="6966A7E0" w14:textId="77777777" w:rsidTr="004A3B97">
        <w:tc>
          <w:tcPr>
            <w:tcW w:w="12996" w:type="dxa"/>
          </w:tcPr>
          <w:p w14:paraId="48E7872F" w14:textId="77777777" w:rsidR="003F08F8" w:rsidRPr="003F08F8" w:rsidRDefault="003F08F8" w:rsidP="003F08F8">
            <w:pPr>
              <w:jc w:val="center"/>
            </w:pPr>
            <w:r w:rsidRPr="003F08F8">
              <w:t>Diego Javier Liévano Parra</w:t>
            </w:r>
          </w:p>
          <w:p w14:paraId="7539EA4A" w14:textId="77777777" w:rsidR="003F08F8" w:rsidRDefault="003F08F8" w:rsidP="003F08F8">
            <w:pPr>
              <w:jc w:val="center"/>
            </w:pPr>
            <w:r w:rsidRPr="003F08F8">
              <w:t>Universidad de los Andes</w:t>
            </w:r>
          </w:p>
          <w:p w14:paraId="49DE1F61" w14:textId="77777777" w:rsidR="00A23424" w:rsidRDefault="003F08F8" w:rsidP="003F08F8">
            <w:pPr>
              <w:jc w:val="center"/>
              <w:rPr>
                <w:b/>
              </w:rPr>
            </w:pPr>
            <w:r w:rsidRPr="003F08F8">
              <w:t xml:space="preserve">Reversión del aprendizaje e inhibición propulso en ratas </w:t>
            </w:r>
            <w:proofErr w:type="spellStart"/>
            <w:r w:rsidRPr="003F08F8">
              <w:t>Wistar</w:t>
            </w:r>
            <w:proofErr w:type="spellEnd"/>
            <w:r w:rsidRPr="003F08F8">
              <w:t xml:space="preserve"> machos y hembras sometidas a lesión unilateral de la sustancia </w:t>
            </w:r>
            <w:proofErr w:type="spellStart"/>
            <w:r w:rsidRPr="003F08F8">
              <w:t>nigra</w:t>
            </w:r>
            <w:proofErr w:type="spellEnd"/>
            <w:r w:rsidRPr="003F08F8">
              <w:t xml:space="preserve"> compacta con 6-hidroxidopamina.</w:t>
            </w:r>
          </w:p>
        </w:tc>
      </w:tr>
      <w:tr w:rsidR="00A23424" w14:paraId="038FA3F5" w14:textId="77777777" w:rsidTr="004A3B97">
        <w:tc>
          <w:tcPr>
            <w:tcW w:w="12996" w:type="dxa"/>
          </w:tcPr>
          <w:p w14:paraId="22431BD6" w14:textId="77777777" w:rsidR="003F08F8" w:rsidRDefault="003F08F8" w:rsidP="003F08F8">
            <w:pPr>
              <w:jc w:val="both"/>
              <w:rPr>
                <w:b/>
              </w:rPr>
            </w:pPr>
            <w:r>
              <w:rPr>
                <w:b/>
              </w:rPr>
              <w:t xml:space="preserve">Resumen. </w:t>
            </w:r>
            <w:r w:rsidRPr="003F08F8">
              <w:t xml:space="preserve">Los modelos animales de depleción dopaminérgica en la vía nigroestriada han contribuido significativamente en la comprensión de los síntomas motores y no motores asociados con la enfermedad de Parkinson (De </w:t>
            </w:r>
            <w:proofErr w:type="spellStart"/>
            <w:r w:rsidRPr="003F08F8">
              <w:t>Deurwaerdère</w:t>
            </w:r>
            <w:proofErr w:type="spellEnd"/>
            <w:r w:rsidRPr="003F08F8">
              <w:t xml:space="preserve"> et al., 2017). Aunque estudios con roedores han demostrado que la extensión de la lesión dopaminérgica se asocia con mayores alteraciones en flexibilidad cognitiva (</w:t>
            </w:r>
            <w:proofErr w:type="spellStart"/>
            <w:r w:rsidRPr="003F08F8">
              <w:t>Tait</w:t>
            </w:r>
            <w:proofErr w:type="spellEnd"/>
            <w:r w:rsidRPr="003F08F8">
              <w:t xml:space="preserve"> et al., 2018), es poco frecuente que se empleen hembras en dichos estudios, por lo que se discute si los efectos motores y no motores causados por la depleción dopaminérgica tienen un efecto diferencial entre los sexos. Además, se ha explorado escasamente los cambios en las respuestas autonómica debidos a la destrucción selectiva de neuronas dopaminérgicas (</w:t>
            </w:r>
            <w:proofErr w:type="spellStart"/>
            <w:r w:rsidRPr="003F08F8">
              <w:t>Lindemann</w:t>
            </w:r>
            <w:proofErr w:type="spellEnd"/>
            <w:r w:rsidRPr="003F08F8">
              <w:t xml:space="preserve"> et al., 2012). El objetivo de este trabajo es analizar los efectos de la depleción dopaminérgica en la vía nigroestriada en la respuesta de reversión del aprendizaje y la respuesta de inhibición </w:t>
            </w:r>
            <w:proofErr w:type="spellStart"/>
            <w:r w:rsidRPr="003F08F8">
              <w:t>prepulso</w:t>
            </w:r>
            <w:proofErr w:type="spellEnd"/>
            <w:r w:rsidRPr="003F08F8">
              <w:t xml:space="preserve"> en ratas </w:t>
            </w:r>
            <w:proofErr w:type="spellStart"/>
            <w:r w:rsidRPr="003F08F8">
              <w:t>Wistar</w:t>
            </w:r>
            <w:proofErr w:type="spellEnd"/>
            <w:r w:rsidRPr="003F08F8">
              <w:t xml:space="preserve"> machos y hembras sometidas a lesión unilateral de la Substancia </w:t>
            </w:r>
            <w:proofErr w:type="spellStart"/>
            <w:r w:rsidRPr="003F08F8">
              <w:t>Nigra</w:t>
            </w:r>
            <w:proofErr w:type="spellEnd"/>
            <w:r w:rsidRPr="003F08F8">
              <w:t xml:space="preserve"> Compacta con 6-OHDA. Se propuso un diseño </w:t>
            </w:r>
            <w:r w:rsidRPr="003F08F8">
              <w:lastRenderedPageBreak/>
              <w:t xml:space="preserve">experimental de corte longitudinal con asignación de grupo control. Se emplearon 96 animales, 48 hembras y 48 machos y se tomaron medidas motrices, cognitivas y autonómicas pre y </w:t>
            </w:r>
            <w:proofErr w:type="spellStart"/>
            <w:r w:rsidRPr="003F08F8">
              <w:t>postlesión</w:t>
            </w:r>
            <w:proofErr w:type="spellEnd"/>
            <w:r w:rsidRPr="003F08F8">
              <w:t xml:space="preserve"> durante seis semanas.</w:t>
            </w:r>
          </w:p>
        </w:tc>
      </w:tr>
    </w:tbl>
    <w:p w14:paraId="38919EDC" w14:textId="77777777" w:rsidR="00D27763" w:rsidRDefault="00D27763"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4A3B97" w14:paraId="1288AB47" w14:textId="77777777" w:rsidTr="00A549ED">
        <w:tc>
          <w:tcPr>
            <w:tcW w:w="12996" w:type="dxa"/>
          </w:tcPr>
          <w:p w14:paraId="458821E2" w14:textId="77777777" w:rsidR="004A3B97" w:rsidRDefault="004A3B97" w:rsidP="002553EE">
            <w:pPr>
              <w:jc w:val="center"/>
              <w:rPr>
                <w:b/>
              </w:rPr>
            </w:pPr>
            <w:r>
              <w:rPr>
                <w:b/>
              </w:rPr>
              <w:t>Simposio 2</w:t>
            </w:r>
            <w:r w:rsidR="002553EE">
              <w:rPr>
                <w:b/>
              </w:rPr>
              <w:t>C: Construcción de identidad</w:t>
            </w:r>
          </w:p>
        </w:tc>
      </w:tr>
      <w:tr w:rsidR="004A3B97" w14:paraId="1A5077EE" w14:textId="77777777" w:rsidTr="00A549ED">
        <w:tc>
          <w:tcPr>
            <w:tcW w:w="12996" w:type="dxa"/>
          </w:tcPr>
          <w:p w14:paraId="201F83E8" w14:textId="77777777" w:rsidR="002553EE" w:rsidRPr="002553EE" w:rsidRDefault="002553EE" w:rsidP="00A549ED">
            <w:pPr>
              <w:jc w:val="center"/>
            </w:pPr>
            <w:r w:rsidRPr="002553EE">
              <w:rPr>
                <w:b/>
              </w:rPr>
              <w:tab/>
            </w:r>
            <w:r w:rsidRPr="002553EE">
              <w:t xml:space="preserve">Angélica María Londoño Moreno </w:t>
            </w:r>
          </w:p>
          <w:p w14:paraId="74142F33" w14:textId="77777777" w:rsidR="004A3B97" w:rsidRPr="002553EE" w:rsidRDefault="002553EE" w:rsidP="00A549ED">
            <w:pPr>
              <w:jc w:val="center"/>
            </w:pPr>
            <w:r w:rsidRPr="002553EE">
              <w:t>Universidad del Valle</w:t>
            </w:r>
          </w:p>
          <w:p w14:paraId="4563A226" w14:textId="77777777" w:rsidR="002553EE" w:rsidRDefault="002553EE" w:rsidP="00A549ED">
            <w:pPr>
              <w:jc w:val="center"/>
              <w:rPr>
                <w:b/>
              </w:rPr>
            </w:pPr>
            <w:r w:rsidRPr="002553EE">
              <w:t>Prolongaciones de la vida en el trabajo de trabajadores mayores</w:t>
            </w:r>
          </w:p>
        </w:tc>
      </w:tr>
      <w:tr w:rsidR="004A3B97" w14:paraId="043719C0" w14:textId="77777777" w:rsidTr="00A549ED">
        <w:tc>
          <w:tcPr>
            <w:tcW w:w="12996" w:type="dxa"/>
          </w:tcPr>
          <w:p w14:paraId="1C159D0F" w14:textId="77777777" w:rsidR="004A3B97" w:rsidRPr="008819B9" w:rsidRDefault="004A3B97" w:rsidP="008819B9">
            <w:pPr>
              <w:jc w:val="both"/>
            </w:pPr>
            <w:r w:rsidRPr="008819B9">
              <w:rPr>
                <w:b/>
              </w:rPr>
              <w:t>Resumen</w:t>
            </w:r>
            <w:r w:rsidRPr="008819B9">
              <w:t xml:space="preserve">. </w:t>
            </w:r>
            <w:r w:rsidR="008819B9" w:rsidRPr="008819B9">
              <w:t xml:space="preserve">La participación laboral de las personas mayores se ha convertido en un desafío actual tanto para las personas como para las organizaciones. Esto se deriva entre otras cosas por el envejecimiento poblacional, la crisis de los sistemas de pensiones, las desigualdades sociales, el edadismo y las transformaciones del mundo del trabajo. La tesis se enfoca en las prolongaciones de la vida en el trabajo de trabajadores mayores (es decir que sobrepasan las edades “estipuladas” jurídica y/o socialmente a la jubilación y el retiro) y tiene como objetivo analizar cómo se comprenden, construyen y actúan las prolongaciones de vida en el trabajo de trabajadores mayores. Se plantea la idea de pensar las prolongaciones como alargamiento en el tiempo de las carreras de trabajo de las personas y se toma para ello la perspectiva de carrera psicosocial de Marcelo Ribeiro. Se opta por un abordaje cualitativo, mediante entrevistas, conversaciones y análisis documental, tomando las narrativas de diferentes actores implicados en esta realidad construida que se encuentran en cuatro niveles: el nivel científico-académico, normativo-legislativo y empírico-vivencial. Se analizará la información a través del análisis de contenido de </w:t>
            </w:r>
            <w:proofErr w:type="spellStart"/>
            <w:r w:rsidR="008819B9" w:rsidRPr="008819B9">
              <w:t>Bardin</w:t>
            </w:r>
            <w:proofErr w:type="spellEnd"/>
            <w:r w:rsidR="008819B9" w:rsidRPr="008819B9">
              <w:t xml:space="preserve"> (2002) y las líneas narrativas de </w:t>
            </w:r>
            <w:proofErr w:type="spellStart"/>
            <w:r w:rsidR="008819B9" w:rsidRPr="008819B9">
              <w:t>Spink</w:t>
            </w:r>
            <w:proofErr w:type="spellEnd"/>
            <w:r w:rsidR="008819B9" w:rsidRPr="008819B9">
              <w:t xml:space="preserve"> (2003).</w:t>
            </w:r>
          </w:p>
        </w:tc>
      </w:tr>
      <w:tr w:rsidR="00D13FFF" w14:paraId="4549F371" w14:textId="77777777" w:rsidTr="00A549ED">
        <w:tc>
          <w:tcPr>
            <w:tcW w:w="12996" w:type="dxa"/>
          </w:tcPr>
          <w:p w14:paraId="50E3914C" w14:textId="77777777" w:rsidR="00D13FFF" w:rsidRPr="008819B9" w:rsidRDefault="00D13FFF" w:rsidP="008819B9">
            <w:pPr>
              <w:jc w:val="both"/>
              <w:rPr>
                <w:b/>
              </w:rPr>
            </w:pPr>
          </w:p>
        </w:tc>
      </w:tr>
      <w:tr w:rsidR="00D13FFF" w14:paraId="5A45EFDD" w14:textId="77777777" w:rsidTr="00A549ED">
        <w:tc>
          <w:tcPr>
            <w:tcW w:w="12996" w:type="dxa"/>
          </w:tcPr>
          <w:p w14:paraId="410CFFEE" w14:textId="77777777" w:rsidR="00F803C1" w:rsidRPr="00F803C1" w:rsidRDefault="00F803C1" w:rsidP="00F803C1">
            <w:pPr>
              <w:jc w:val="center"/>
            </w:pPr>
            <w:r w:rsidRPr="00F803C1">
              <w:t xml:space="preserve">Martha Cecilia </w:t>
            </w:r>
            <w:proofErr w:type="spellStart"/>
            <w:r w:rsidRPr="00F803C1">
              <w:t>Sabala</w:t>
            </w:r>
            <w:proofErr w:type="spellEnd"/>
            <w:r w:rsidRPr="00F803C1">
              <w:t xml:space="preserve"> Moreno </w:t>
            </w:r>
          </w:p>
          <w:p w14:paraId="2AC32B0C" w14:textId="77777777" w:rsidR="00F803C1" w:rsidRPr="00F803C1" w:rsidRDefault="00F803C1" w:rsidP="00F803C1">
            <w:pPr>
              <w:jc w:val="center"/>
            </w:pPr>
            <w:r w:rsidRPr="00F803C1">
              <w:t>Universidad del Valle</w:t>
            </w:r>
            <w:r w:rsidRPr="00F803C1">
              <w:tab/>
            </w:r>
          </w:p>
          <w:p w14:paraId="1C57402E" w14:textId="77777777" w:rsidR="00D13FFF" w:rsidRPr="008819B9" w:rsidRDefault="00F803C1" w:rsidP="00F803C1">
            <w:pPr>
              <w:jc w:val="center"/>
              <w:rPr>
                <w:b/>
              </w:rPr>
            </w:pPr>
            <w:r w:rsidRPr="00F803C1">
              <w:t>Construcción de identidad laboral y de carrera en estudiantes de práctica profesional. Transición al mercado de trabajo</w:t>
            </w:r>
          </w:p>
        </w:tc>
      </w:tr>
      <w:tr w:rsidR="00D13FFF" w14:paraId="3AD955BE" w14:textId="77777777" w:rsidTr="00A549ED">
        <w:tc>
          <w:tcPr>
            <w:tcW w:w="12996" w:type="dxa"/>
          </w:tcPr>
          <w:p w14:paraId="480FD23E" w14:textId="77777777" w:rsidR="004142F5" w:rsidRDefault="00F803C1" w:rsidP="004142F5">
            <w:pPr>
              <w:jc w:val="both"/>
            </w:pPr>
            <w:r w:rsidRPr="004142F5">
              <w:t xml:space="preserve">Resumen. </w:t>
            </w:r>
            <w:r w:rsidR="004142F5" w:rsidRPr="004142F5">
              <w:t>Tradicionalmente las prácticas profesionales han sido consideradas un mecanismo de inserción laboral, y tránsito al mercado de trabajo, donde convergen diversas posibilidades para el estudiante en relación con el mundo del trabajo, el desarrollo profesional, la construcción de carrera, entre otros aspectos (</w:t>
            </w:r>
            <w:proofErr w:type="spellStart"/>
            <w:r w:rsidR="004142F5" w:rsidRPr="004142F5">
              <w:t>Adamini</w:t>
            </w:r>
            <w:proofErr w:type="spellEnd"/>
            <w:r w:rsidR="004142F5" w:rsidRPr="004142F5">
              <w:t>, 2014). También, resultan ser un escenario con posibilidades de contrastar la teoría aprendida en las aulas de clase con la intervención y abordaje de problemáticas reales de las organizaciones o instituciones (</w:t>
            </w:r>
            <w:proofErr w:type="spellStart"/>
            <w:r w:rsidR="004142F5" w:rsidRPr="004142F5">
              <w:t>Sabala</w:t>
            </w:r>
            <w:proofErr w:type="spellEnd"/>
            <w:r w:rsidR="004142F5" w:rsidRPr="004142F5">
              <w:t xml:space="preserve">, et al., 2021). En este proceso, se demanda posicionarse, asumir varios roles, desde el ámbito organizacional, como practicantes- profesionales, por otro lado, en el sector educativo, las universidades, como estudiantes-practicantes; dinámica que tiene implicaciones en la configuración subjetiva y la construcción de la identidad laboral en estudiantes de práctica y proyección de carrera. Investigar esta cuestión, a través de narrativas y relatos de estudiantes practicantes, los supervisores-tutores y empleadores en un contexto impactado por demandas de un mercado laboral flexible, precarizado y actualmente afectado por situaciones de contingencia sanitaria (Castel, 2010), en relación con la configuración como practicante </w:t>
            </w:r>
            <w:r w:rsidR="004142F5" w:rsidRPr="004142F5">
              <w:lastRenderedPageBreak/>
              <w:t>profesional- trabajador, para la POT, es analizar más allá de los aspectos curriculares y académicos exclusivamente, desde otras esferas de la actividad ocupacional legitimadas.</w:t>
            </w:r>
          </w:p>
          <w:p w14:paraId="22017003" w14:textId="77777777" w:rsidR="006501DB" w:rsidRPr="004142F5" w:rsidRDefault="006501DB" w:rsidP="004142F5">
            <w:pPr>
              <w:jc w:val="both"/>
            </w:pPr>
          </w:p>
          <w:p w14:paraId="2C32F49D" w14:textId="77777777" w:rsidR="004142F5" w:rsidRPr="004142F5" w:rsidRDefault="004142F5" w:rsidP="004142F5">
            <w:pPr>
              <w:jc w:val="both"/>
            </w:pPr>
            <w:r w:rsidRPr="004142F5">
              <w:t>Castel, R. (2010). El ascenso de las incertidumbres: trabajo, protecciones, estatuto del individuo. Fondo de cultura económica.</w:t>
            </w:r>
          </w:p>
          <w:p w14:paraId="39DEF67D" w14:textId="77777777" w:rsidR="004142F5" w:rsidRPr="004142F5" w:rsidRDefault="004142F5" w:rsidP="004142F5">
            <w:pPr>
              <w:jc w:val="both"/>
            </w:pPr>
            <w:proofErr w:type="spellStart"/>
            <w:r w:rsidRPr="004142F5">
              <w:t>Sabala</w:t>
            </w:r>
            <w:proofErr w:type="spellEnd"/>
            <w:r w:rsidRPr="004142F5">
              <w:t xml:space="preserve"> Moreno, M., Rentería-Pérez, E., &amp; Díaz-Bambula, F. (2021). Prácticas profesionales universitarias como mecanismo de inserción laboral: modalidad de trabajo. Praxis </w:t>
            </w:r>
            <w:proofErr w:type="spellStart"/>
            <w:r w:rsidRPr="004142F5">
              <w:t>Psy</w:t>
            </w:r>
            <w:proofErr w:type="spellEnd"/>
            <w:r w:rsidRPr="004142F5">
              <w:t>, 22(35), 47-64. https://doi.org/10.32995/praxispsy.v22i35.158</w:t>
            </w:r>
          </w:p>
          <w:p w14:paraId="39A2EFE1" w14:textId="77777777" w:rsidR="00F803C1" w:rsidRPr="004142F5" w:rsidRDefault="004142F5" w:rsidP="004142F5">
            <w:pPr>
              <w:jc w:val="both"/>
            </w:pPr>
            <w:proofErr w:type="spellStart"/>
            <w:r w:rsidRPr="004142F5">
              <w:t>Adamini</w:t>
            </w:r>
            <w:proofErr w:type="spellEnd"/>
            <w:r w:rsidRPr="004142F5">
              <w:t xml:space="preserve">, M. (2014). Formaciones identitarias en lugares de trabajo precario: Un estudio sobre pasantes de la administración pública de la provincia de Buenos Aires (2008-2012). [Tesis doctoral, Facultad de Humanidades y Ciencias de la Educación, Universidad Nacional de la Plata]. Repositorio </w:t>
            </w:r>
            <w:proofErr w:type="spellStart"/>
            <w:r w:rsidRPr="004142F5">
              <w:t>FahCE</w:t>
            </w:r>
            <w:proofErr w:type="spellEnd"/>
            <w:r w:rsidRPr="004142F5">
              <w:t xml:space="preserve">, Universidad Nacional de La Plata. http://www.memoria.fahce.unlp.edu.ar/tesis/te.1014/te.1014.pdf </w:t>
            </w:r>
          </w:p>
        </w:tc>
      </w:tr>
    </w:tbl>
    <w:p w14:paraId="3EBB2D0B" w14:textId="77777777" w:rsidR="00D27763" w:rsidRDefault="00D27763"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4A3B97" w14:paraId="6FFB028B" w14:textId="77777777" w:rsidTr="00AF30F1">
        <w:tc>
          <w:tcPr>
            <w:tcW w:w="8828" w:type="dxa"/>
          </w:tcPr>
          <w:p w14:paraId="3F606477" w14:textId="77777777" w:rsidR="004A3B97" w:rsidRDefault="004A3B97" w:rsidP="000D7AF6">
            <w:pPr>
              <w:jc w:val="center"/>
              <w:rPr>
                <w:b/>
              </w:rPr>
            </w:pPr>
            <w:r>
              <w:rPr>
                <w:b/>
              </w:rPr>
              <w:t>Simposio 2</w:t>
            </w:r>
            <w:r w:rsidR="000D7AF6">
              <w:rPr>
                <w:b/>
              </w:rPr>
              <w:t>D: Psicología social crítica</w:t>
            </w:r>
          </w:p>
        </w:tc>
      </w:tr>
      <w:tr w:rsidR="004A3B97" w14:paraId="659E94B3" w14:textId="77777777" w:rsidTr="00AF30F1">
        <w:tc>
          <w:tcPr>
            <w:tcW w:w="8828" w:type="dxa"/>
          </w:tcPr>
          <w:p w14:paraId="0B9D7C1F" w14:textId="77777777" w:rsidR="00186BD0" w:rsidRPr="00186BD0" w:rsidRDefault="00186BD0" w:rsidP="00186BD0">
            <w:pPr>
              <w:jc w:val="center"/>
            </w:pPr>
            <w:r w:rsidRPr="00186BD0">
              <w:t xml:space="preserve">Alejandro Riascos Guerrero </w:t>
            </w:r>
          </w:p>
          <w:p w14:paraId="33AF5AD9" w14:textId="77777777" w:rsidR="00186BD0" w:rsidRPr="00186BD0" w:rsidRDefault="00186BD0" w:rsidP="00186BD0">
            <w:pPr>
              <w:jc w:val="center"/>
            </w:pPr>
            <w:r w:rsidRPr="00186BD0">
              <w:t>Universidad del Valle</w:t>
            </w:r>
            <w:r w:rsidRPr="00186BD0">
              <w:tab/>
            </w:r>
          </w:p>
          <w:p w14:paraId="693D0967" w14:textId="77777777" w:rsidR="004A3B97" w:rsidRPr="00C22C73" w:rsidRDefault="00C22C73" w:rsidP="00A549ED">
            <w:pPr>
              <w:jc w:val="center"/>
            </w:pPr>
            <w:r w:rsidRPr="00C22C73">
              <w:t xml:space="preserve">Gobernar la Memoria, memorias que se gobiernan: Estudio de los procesos de construcción de Memoria en Colombia desde la perspectiva de la </w:t>
            </w:r>
            <w:proofErr w:type="spellStart"/>
            <w:r w:rsidRPr="00C22C73">
              <w:t>gubernamentalidad</w:t>
            </w:r>
            <w:proofErr w:type="spellEnd"/>
          </w:p>
        </w:tc>
      </w:tr>
      <w:tr w:rsidR="004A3B97" w14:paraId="273E8B4B" w14:textId="77777777" w:rsidTr="00AF30F1">
        <w:tc>
          <w:tcPr>
            <w:tcW w:w="8828" w:type="dxa"/>
          </w:tcPr>
          <w:p w14:paraId="0FBB8088" w14:textId="77777777" w:rsidR="004A3B97" w:rsidRDefault="004A3B97" w:rsidP="00725C35">
            <w:pPr>
              <w:jc w:val="both"/>
              <w:rPr>
                <w:b/>
              </w:rPr>
            </w:pPr>
            <w:r w:rsidRPr="00725C35">
              <w:rPr>
                <w:b/>
              </w:rPr>
              <w:t>Resumen.</w:t>
            </w:r>
            <w:r>
              <w:rPr>
                <w:b/>
              </w:rPr>
              <w:t xml:space="preserve"> </w:t>
            </w:r>
            <w:r w:rsidR="00725C35" w:rsidRPr="00725C35">
              <w:t xml:space="preserve">Esta propuesta busca hacer una contribución a lectura y reflexión ontológica de la memoria en Colombia como producción cultural y social, no únicamente desde su localización historiográfica, sino también, a partir de la evolución de su comprensión conceptual y las prácticas que, en consecuencia, se han adoptado para su recuperación, construcción y conservación. Así las cosas, el proyecto de tesis no se circunscribe a una descripción de hechos a nivel temporal y contextual, sino que incluye una perspectiva crítica que surge a partir de la intersección de esta forma de tratamiento de la memoria en lo social, y el campo de los estudios de la </w:t>
            </w:r>
            <w:proofErr w:type="spellStart"/>
            <w:r w:rsidR="00725C35" w:rsidRPr="00725C35">
              <w:t>gubernamentalidad</w:t>
            </w:r>
            <w:proofErr w:type="spellEnd"/>
            <w:r w:rsidR="00725C35" w:rsidRPr="00725C35">
              <w:t xml:space="preserve"> derivados de las proposiciones de M. Foucault, en tanto permite dar cuenta de las dinámicas relacionales que se producen, y los alcances que ello tiene a nivel de las racionalidades, dispositivos y formas que adoptan las subjetividades.</w:t>
            </w:r>
          </w:p>
        </w:tc>
      </w:tr>
      <w:tr w:rsidR="00C22C73" w14:paraId="354B5A51" w14:textId="77777777" w:rsidTr="00AF30F1">
        <w:tc>
          <w:tcPr>
            <w:tcW w:w="8828" w:type="dxa"/>
          </w:tcPr>
          <w:p w14:paraId="25728454" w14:textId="77777777" w:rsidR="00C22C73" w:rsidRDefault="00C22C73" w:rsidP="00A549ED">
            <w:pPr>
              <w:jc w:val="center"/>
              <w:rPr>
                <w:b/>
              </w:rPr>
            </w:pPr>
          </w:p>
        </w:tc>
      </w:tr>
      <w:tr w:rsidR="00C22C73" w14:paraId="40F11E8C" w14:textId="77777777" w:rsidTr="00AF30F1">
        <w:tc>
          <w:tcPr>
            <w:tcW w:w="8828" w:type="dxa"/>
          </w:tcPr>
          <w:p w14:paraId="26D49A10" w14:textId="77777777" w:rsidR="00C22C73" w:rsidRPr="005D79D2" w:rsidRDefault="00C22C73" w:rsidP="00A549ED">
            <w:pPr>
              <w:jc w:val="center"/>
            </w:pPr>
            <w:r w:rsidRPr="005D79D2">
              <w:t xml:space="preserve">Angélica Paola Torres Quintero </w:t>
            </w:r>
          </w:p>
          <w:p w14:paraId="452719F9" w14:textId="77777777" w:rsidR="005640E5" w:rsidRPr="005D79D2" w:rsidRDefault="00C22C73" w:rsidP="00A549ED">
            <w:pPr>
              <w:jc w:val="center"/>
            </w:pPr>
            <w:r w:rsidRPr="005D79D2">
              <w:t>Pontificia Universidad Javeriana, Bogotá</w:t>
            </w:r>
          </w:p>
          <w:p w14:paraId="081C4E36" w14:textId="77777777" w:rsidR="00C22C73" w:rsidRDefault="00AB4565" w:rsidP="00AB4565">
            <w:pPr>
              <w:jc w:val="center"/>
              <w:rPr>
                <w:b/>
              </w:rPr>
            </w:pPr>
            <w:r w:rsidRPr="005D79D2">
              <w:t>Entre las prescripciones subjetivas del amor y las prácticas amorosas encarnadas</w:t>
            </w:r>
          </w:p>
        </w:tc>
      </w:tr>
      <w:tr w:rsidR="00C22C73" w14:paraId="5C24306F" w14:textId="77777777" w:rsidTr="00AF30F1">
        <w:tc>
          <w:tcPr>
            <w:tcW w:w="8828" w:type="dxa"/>
          </w:tcPr>
          <w:p w14:paraId="7D2DABC9" w14:textId="77777777" w:rsidR="00C22C73" w:rsidRDefault="00031BC9" w:rsidP="003B4495">
            <w:pPr>
              <w:jc w:val="both"/>
              <w:rPr>
                <w:b/>
              </w:rPr>
            </w:pPr>
            <w:r>
              <w:rPr>
                <w:b/>
              </w:rPr>
              <w:t xml:space="preserve">Resumen. </w:t>
            </w:r>
            <w:r w:rsidR="003B4495" w:rsidRPr="003B4495">
              <w:t>Esta investigación transdisciplinar y situada (</w:t>
            </w:r>
            <w:proofErr w:type="spellStart"/>
            <w:r w:rsidR="003B4495" w:rsidRPr="003B4495">
              <w:t>Haraway</w:t>
            </w:r>
            <w:proofErr w:type="spellEnd"/>
            <w:r w:rsidR="003B4495" w:rsidRPr="003B4495">
              <w:t xml:space="preserve">, 1998) en los estudios feministas decoloniales, los estudios críticos del amor y los estudios de la </w:t>
            </w:r>
            <w:proofErr w:type="spellStart"/>
            <w:r w:rsidR="003B4495" w:rsidRPr="003B4495">
              <w:t>gubernamentalidad</w:t>
            </w:r>
            <w:proofErr w:type="spellEnd"/>
            <w:r w:rsidR="003B4495" w:rsidRPr="003B4495">
              <w:t xml:space="preserve">, analiza el problema de la constitución subjetiva en el campo de las relaciones románticas. Privilegia como lugares de indagación los discursos producidos en los saberes psi (artículos científicos, producciones de la psicología pop en redes sociales y manuales de autoayuda); así como narrativas de mujeres y hombres en torno a sus experiencias amorosas, obtenidos a través de las técnicas de entrevista en profundidad, grupos de discusión y conversatorios de experiencias y saberes. El estudio cualitativo combina en un diseño metodológico propio, el análisis del discurso de tradición </w:t>
            </w:r>
            <w:proofErr w:type="spellStart"/>
            <w:r w:rsidR="003B4495" w:rsidRPr="003B4495">
              <w:lastRenderedPageBreak/>
              <w:t>focaultiana</w:t>
            </w:r>
            <w:proofErr w:type="spellEnd"/>
            <w:r w:rsidR="003B4495" w:rsidRPr="003B4495">
              <w:t xml:space="preserve"> con el análisis narrativo (Kohler, 2008), para producir un diálogo entre las prescripciones discursivas y la manera como las personas </w:t>
            </w:r>
            <w:proofErr w:type="spellStart"/>
            <w:r w:rsidR="003B4495" w:rsidRPr="003B4495">
              <w:t>performan</w:t>
            </w:r>
            <w:proofErr w:type="spellEnd"/>
            <w:r w:rsidR="003B4495" w:rsidRPr="003B4495">
              <w:t xml:space="preserve"> subjetividades (Butler, 2002) en sus prácticas amorosas. Se presentarán algunos resultados obtenidos hasta el momento sobre el proceder de las ciencias psi como tecnologías de gobierno en las sociedades liberales capitalistas, mediante las cuales se configuran subjetividades amorosas útiles al sistema, que devienen “dependientes” y que transitan ambivalentemente y en tensión hacia otras vinculadas a la gestión de las emociones, la autonomía y la búsqueda de la felicidad.</w:t>
            </w:r>
          </w:p>
        </w:tc>
      </w:tr>
      <w:tr w:rsidR="00A63230" w14:paraId="3727409E" w14:textId="77777777" w:rsidTr="00AF30F1">
        <w:tc>
          <w:tcPr>
            <w:tcW w:w="8828" w:type="dxa"/>
          </w:tcPr>
          <w:p w14:paraId="7362FA3F" w14:textId="77777777" w:rsidR="00A63230" w:rsidRDefault="00A63230" w:rsidP="003B4495">
            <w:pPr>
              <w:jc w:val="both"/>
              <w:rPr>
                <w:b/>
              </w:rPr>
            </w:pPr>
          </w:p>
        </w:tc>
      </w:tr>
      <w:tr w:rsidR="0092575A" w14:paraId="35A2F272" w14:textId="77777777" w:rsidTr="00AF30F1">
        <w:tc>
          <w:tcPr>
            <w:tcW w:w="8828" w:type="dxa"/>
          </w:tcPr>
          <w:p w14:paraId="77E6BF71" w14:textId="77777777" w:rsidR="0092575A" w:rsidRPr="002C0ADF" w:rsidRDefault="0092575A" w:rsidP="0092575A">
            <w:pPr>
              <w:jc w:val="center"/>
            </w:pPr>
            <w:r w:rsidRPr="002C0ADF">
              <w:t>Juan Roberto Rengifo Gutiérrez</w:t>
            </w:r>
          </w:p>
          <w:p w14:paraId="6A4B4E48" w14:textId="77777777" w:rsidR="0092575A" w:rsidRPr="002C0ADF" w:rsidRDefault="0092575A" w:rsidP="0092575A">
            <w:pPr>
              <w:jc w:val="center"/>
            </w:pPr>
            <w:r w:rsidRPr="002C0ADF">
              <w:t>Universidad de Los Andes</w:t>
            </w:r>
          </w:p>
          <w:p w14:paraId="6607004A" w14:textId="77777777" w:rsidR="0092575A" w:rsidRDefault="0092575A" w:rsidP="0092575A">
            <w:pPr>
              <w:jc w:val="center"/>
              <w:rPr>
                <w:b/>
              </w:rPr>
            </w:pPr>
            <w:r w:rsidRPr="002C0ADF">
              <w:t>¿Es posible liberarse de “lo traumático” y su transmisibilidad?</w:t>
            </w:r>
            <w:r w:rsidRPr="0092575A">
              <w:rPr>
                <w:b/>
              </w:rPr>
              <w:t xml:space="preserve">  </w:t>
            </w:r>
          </w:p>
        </w:tc>
      </w:tr>
      <w:tr w:rsidR="0092575A" w14:paraId="5DD6A69D" w14:textId="77777777" w:rsidTr="00AF30F1">
        <w:tc>
          <w:tcPr>
            <w:tcW w:w="8828" w:type="dxa"/>
          </w:tcPr>
          <w:p w14:paraId="473BD7E7" w14:textId="77777777" w:rsidR="0092575A" w:rsidRDefault="0092575A" w:rsidP="003B4495">
            <w:pPr>
              <w:jc w:val="both"/>
              <w:rPr>
                <w:b/>
              </w:rPr>
            </w:pPr>
            <w:r>
              <w:rPr>
                <w:b/>
              </w:rPr>
              <w:t xml:space="preserve">Resumen. </w:t>
            </w:r>
            <w:r w:rsidR="0004544C" w:rsidRPr="0004544C">
              <w:t xml:space="preserve">Esta ponencia examina vías para desarrollar praxis en psicología que </w:t>
            </w:r>
            <w:proofErr w:type="spellStart"/>
            <w:r w:rsidR="0004544C" w:rsidRPr="0004544C">
              <w:t>decolonicen</w:t>
            </w:r>
            <w:proofErr w:type="spellEnd"/>
            <w:r w:rsidR="0004544C" w:rsidRPr="0004544C">
              <w:t xml:space="preserve"> las representaciones de trauma y su transmisión, a la luz de perspectivas psicosociales e histórico-culturales que permitan entender sus dimensiones colectivas y comunitarias. Para ello, se discuten las contribuciones sociológicas (Alexander; 2004, 2016), históricas (Ortega, 2003) y de la psicología de la liberación (Martín Baró, 1998) que se han desarrollado para comprender al trauma y sus nexos con fenómenos de opresión, colonialismo y violencia (</w:t>
            </w:r>
            <w:proofErr w:type="spellStart"/>
            <w:r w:rsidR="0004544C" w:rsidRPr="0004544C">
              <w:t>Fanon</w:t>
            </w:r>
            <w:proofErr w:type="spellEnd"/>
            <w:r w:rsidR="0004544C" w:rsidRPr="0004544C">
              <w:t xml:space="preserve">, 2008; </w:t>
            </w:r>
            <w:proofErr w:type="spellStart"/>
            <w:r w:rsidR="0004544C" w:rsidRPr="0004544C">
              <w:t>Mbembe</w:t>
            </w:r>
            <w:proofErr w:type="spellEnd"/>
            <w:r w:rsidR="0004544C" w:rsidRPr="0004544C">
              <w:t xml:space="preserve">, 2013; </w:t>
            </w:r>
            <w:proofErr w:type="spellStart"/>
            <w:r w:rsidR="0004544C" w:rsidRPr="0004544C">
              <w:t>Bulhan</w:t>
            </w:r>
            <w:proofErr w:type="spellEnd"/>
            <w:r w:rsidR="0004544C" w:rsidRPr="0004544C">
              <w:t>, 2015) que marcaron a los pueblos latinoamericanos. Esta discusión se sitúa en relación con metodologías decoloniales (</w:t>
            </w:r>
            <w:proofErr w:type="spellStart"/>
            <w:r w:rsidR="0004544C" w:rsidRPr="0004544C">
              <w:t>Tuhiwai</w:t>
            </w:r>
            <w:proofErr w:type="spellEnd"/>
            <w:r w:rsidR="0004544C" w:rsidRPr="0004544C">
              <w:t>-Smith, 1999) que han cuestionado los posicionamientos epistemológicos y ontológicos de dominación y violencia de Occidente. Se localizan formas de hacer psicologías orientadas a posicionar epistemológicamente a quienes han sido históricamente representados como oprimidos, para así comprometerse con ontologías que han resistido al silenciamiento del colonialismo occidental. Esto con el fin de promover praxis decoloniales en psicología que deconstruyan las representaciones de la opresión y del trauma y trabajen conjuntamente en el derecho de las comunidades por relacionarse con sus pasados libres de violencias epistémicas impuestas por el colonialismo.</w:t>
            </w:r>
          </w:p>
        </w:tc>
      </w:tr>
      <w:tr w:rsidR="0092575A" w14:paraId="45EAAF1F" w14:textId="77777777" w:rsidTr="00AF30F1">
        <w:tc>
          <w:tcPr>
            <w:tcW w:w="8828" w:type="dxa"/>
          </w:tcPr>
          <w:p w14:paraId="0EC2ABE1" w14:textId="77777777" w:rsidR="0092575A" w:rsidRDefault="0092575A" w:rsidP="003B4495">
            <w:pPr>
              <w:jc w:val="both"/>
              <w:rPr>
                <w:b/>
              </w:rPr>
            </w:pPr>
          </w:p>
          <w:p w14:paraId="5D489E38" w14:textId="77777777" w:rsidR="002C0ADF" w:rsidRDefault="002C0ADF" w:rsidP="003B4495">
            <w:pPr>
              <w:jc w:val="both"/>
              <w:rPr>
                <w:b/>
              </w:rPr>
            </w:pPr>
          </w:p>
        </w:tc>
      </w:tr>
      <w:tr w:rsidR="00A63230" w14:paraId="6A0E15F1" w14:textId="77777777" w:rsidTr="00AF30F1">
        <w:tc>
          <w:tcPr>
            <w:tcW w:w="8828" w:type="dxa"/>
          </w:tcPr>
          <w:p w14:paraId="574D1DDD" w14:textId="77777777" w:rsidR="003844DE" w:rsidRPr="002C0ADF" w:rsidRDefault="003844DE" w:rsidP="003844DE">
            <w:pPr>
              <w:jc w:val="center"/>
            </w:pPr>
            <w:r w:rsidRPr="002C0ADF">
              <w:t>Ana María Sanabria</w:t>
            </w:r>
          </w:p>
          <w:p w14:paraId="447F8CD0" w14:textId="77777777" w:rsidR="007767E9" w:rsidRPr="002C0ADF" w:rsidRDefault="007767E9" w:rsidP="003844DE">
            <w:pPr>
              <w:jc w:val="center"/>
            </w:pPr>
            <w:r w:rsidRPr="002C0ADF">
              <w:t>Pontificia Universidad Javeriana, Cali</w:t>
            </w:r>
          </w:p>
          <w:p w14:paraId="6C49E61F" w14:textId="77777777" w:rsidR="00A63230" w:rsidRPr="003844DE" w:rsidRDefault="003844DE" w:rsidP="003844DE">
            <w:pPr>
              <w:jc w:val="center"/>
              <w:rPr>
                <w:b/>
                <w:highlight w:val="yellow"/>
              </w:rPr>
            </w:pPr>
            <w:r w:rsidRPr="002C0ADF">
              <w:t>Procesos de reparación y sanación propia con las mujeres Nasa, del Cabildo Nasa de Cali, víctimas del conflicto armado en sus territorios de origen y actualmente residentes en un contexto de ciudad</w:t>
            </w:r>
          </w:p>
        </w:tc>
      </w:tr>
      <w:tr w:rsidR="00A63230" w14:paraId="1766B742" w14:textId="77777777" w:rsidTr="00AF30F1">
        <w:tc>
          <w:tcPr>
            <w:tcW w:w="8828" w:type="dxa"/>
          </w:tcPr>
          <w:p w14:paraId="396CA0EF" w14:textId="77777777" w:rsidR="00A63230" w:rsidRPr="003844DE" w:rsidRDefault="003844DE" w:rsidP="007767E9">
            <w:pPr>
              <w:jc w:val="both"/>
              <w:rPr>
                <w:b/>
                <w:highlight w:val="yellow"/>
              </w:rPr>
            </w:pPr>
            <w:r w:rsidRPr="007767E9">
              <w:rPr>
                <w:b/>
              </w:rPr>
              <w:t xml:space="preserve">Resumen. </w:t>
            </w:r>
            <w:r w:rsidR="007767E9" w:rsidRPr="007767E9">
              <w:t xml:space="preserve">La presente propuesta doctoral, se está construyendo colaborativamente con un grupo de mujeres de la comunidad del Cabildo Nasa del municipio de Cali y se plantea y realizará en Coherencia con el Plan de Vida de la comunidad Nasa de Santiago de Cali. Tiene como propósito la comprensión de los procesos de reparación y sanación propia con las mujeres Nasa víctimas del conflicto armado en sus territorios de origen y hoy residentes en un contexto de ciudad y pertenecientes al Cabildo Nasa del municipio de Cali. En este sentido y atendiendo, inicialmente, al propósito se empleará la metodología de Investigación Acción Participativa (IAP), como oportuna para acercarse a esta </w:t>
            </w:r>
            <w:r w:rsidR="007767E9" w:rsidRPr="007767E9">
              <w:lastRenderedPageBreak/>
              <w:t>compleja realidad y, posibilitar la comprensión de la comunidad de mujeres Nasa, acorde a sus conocimientos propios y sus marcos de interpretación. Se espera realizar un aporte a la visibilización del conocimiento propio Nasa, necesarios para la armonización y equilibrio espiritual de las mujeres que han sido afectadas por las violencias del conflicto armado colombiano.</w:t>
            </w:r>
          </w:p>
        </w:tc>
      </w:tr>
    </w:tbl>
    <w:p w14:paraId="5A912EEC" w14:textId="77777777" w:rsidR="00D27763" w:rsidRDefault="00D27763" w:rsidP="003440DC">
      <w:pPr>
        <w:spacing w:line="240" w:lineRule="auto"/>
        <w:jc w:val="center"/>
        <w:rPr>
          <w:b/>
        </w:rPr>
      </w:pPr>
    </w:p>
    <w:p w14:paraId="0EC20CAC" w14:textId="77777777" w:rsidR="008E1D22" w:rsidRDefault="000179F2" w:rsidP="003440DC">
      <w:pPr>
        <w:spacing w:line="240" w:lineRule="auto"/>
        <w:jc w:val="center"/>
        <w:rPr>
          <w:b/>
        </w:rPr>
      </w:pPr>
      <w:r>
        <w:rPr>
          <w:b/>
        </w:rPr>
        <w:t xml:space="preserve">Viernes 3 de diciembre </w:t>
      </w:r>
      <w:r w:rsidR="00DB1706">
        <w:rPr>
          <w:b/>
        </w:rPr>
        <w:t>de 2021</w:t>
      </w:r>
    </w:p>
    <w:p w14:paraId="456CDC67" w14:textId="77777777" w:rsidR="008E1D22" w:rsidRDefault="000179F2" w:rsidP="000179F2">
      <w:pPr>
        <w:spacing w:line="240" w:lineRule="auto"/>
        <w:rPr>
          <w:b/>
        </w:rPr>
      </w:pPr>
      <w:r>
        <w:rPr>
          <w:b/>
        </w:rPr>
        <w:t>10:00am-12:00m</w:t>
      </w:r>
    </w:p>
    <w:tbl>
      <w:tblPr>
        <w:tblStyle w:val="Tablaconcuadrcula"/>
        <w:tblW w:w="0" w:type="auto"/>
        <w:tblLook w:val="04A0" w:firstRow="1" w:lastRow="0" w:firstColumn="1" w:lastColumn="0" w:noHBand="0" w:noVBand="1"/>
      </w:tblPr>
      <w:tblGrid>
        <w:gridCol w:w="8828"/>
      </w:tblGrid>
      <w:tr w:rsidR="008E1D22" w14:paraId="2E70BB9F" w14:textId="77777777" w:rsidTr="003276CE">
        <w:tc>
          <w:tcPr>
            <w:tcW w:w="12996" w:type="dxa"/>
          </w:tcPr>
          <w:p w14:paraId="7C5044EA" w14:textId="77777777" w:rsidR="008E1D22" w:rsidRDefault="008E1D22" w:rsidP="00EE45FA">
            <w:pPr>
              <w:jc w:val="center"/>
              <w:rPr>
                <w:b/>
              </w:rPr>
            </w:pPr>
            <w:r>
              <w:rPr>
                <w:b/>
              </w:rPr>
              <w:t xml:space="preserve">Simposio </w:t>
            </w:r>
            <w:r w:rsidR="000179F2">
              <w:rPr>
                <w:b/>
              </w:rPr>
              <w:t>3</w:t>
            </w:r>
            <w:r w:rsidR="00EE45FA">
              <w:rPr>
                <w:b/>
              </w:rPr>
              <w:t xml:space="preserve">A: </w:t>
            </w:r>
            <w:r w:rsidR="00EE45FA" w:rsidRPr="00EE45FA">
              <w:rPr>
                <w:b/>
              </w:rPr>
              <w:t>Dimensiones psicológicas asociadas al</w:t>
            </w:r>
            <w:r w:rsidR="00EE45FA">
              <w:rPr>
                <w:b/>
              </w:rPr>
              <w:t xml:space="preserve"> </w:t>
            </w:r>
            <w:r w:rsidR="00EE45FA" w:rsidRPr="00EE45FA">
              <w:rPr>
                <w:b/>
              </w:rPr>
              <w:t>consumo: exploración con diferentes grupos poblaciones.</w:t>
            </w:r>
          </w:p>
        </w:tc>
      </w:tr>
      <w:tr w:rsidR="008E1D22" w14:paraId="6E5EAAC1" w14:textId="77777777" w:rsidTr="003276CE">
        <w:tc>
          <w:tcPr>
            <w:tcW w:w="12996" w:type="dxa"/>
          </w:tcPr>
          <w:p w14:paraId="35DA8AEB" w14:textId="77777777" w:rsidR="00FB15C7" w:rsidRPr="00FB15C7" w:rsidRDefault="00FB15C7" w:rsidP="00FB15C7">
            <w:pPr>
              <w:jc w:val="center"/>
            </w:pPr>
            <w:r w:rsidRPr="00FB15C7">
              <w:t>Samir Ricardo Neme Chaves</w:t>
            </w:r>
          </w:p>
          <w:p w14:paraId="1C103024" w14:textId="77777777" w:rsidR="008E1D22" w:rsidRPr="00FB15C7" w:rsidRDefault="00FB15C7" w:rsidP="00FB15C7">
            <w:pPr>
              <w:jc w:val="center"/>
            </w:pPr>
            <w:r w:rsidRPr="00FB15C7">
              <w:t>Fundación Universitaria Konrad Lorenz</w:t>
            </w:r>
          </w:p>
          <w:p w14:paraId="34139598" w14:textId="77777777" w:rsidR="00FB15C7" w:rsidRDefault="00FB15C7" w:rsidP="00FB15C7">
            <w:pPr>
              <w:jc w:val="center"/>
              <w:rPr>
                <w:b/>
              </w:rPr>
            </w:pPr>
            <w:r w:rsidRPr="00FB15C7">
              <w:t>Acercamiento al consumo de lujo en personas de recursos bajos en condición de pobreza</w:t>
            </w:r>
          </w:p>
        </w:tc>
      </w:tr>
      <w:tr w:rsidR="008E1D22" w14:paraId="102659BC" w14:textId="77777777" w:rsidTr="003276CE">
        <w:tc>
          <w:tcPr>
            <w:tcW w:w="12996" w:type="dxa"/>
          </w:tcPr>
          <w:p w14:paraId="40C99357" w14:textId="77777777" w:rsidR="008E1D22" w:rsidRDefault="008E1D22" w:rsidP="00290967">
            <w:pPr>
              <w:jc w:val="both"/>
              <w:rPr>
                <w:b/>
              </w:rPr>
            </w:pPr>
            <w:r>
              <w:rPr>
                <w:b/>
              </w:rPr>
              <w:t xml:space="preserve">Resumen. </w:t>
            </w:r>
            <w:r w:rsidR="00290967" w:rsidRPr="00290967">
              <w:t xml:space="preserve">La presente investigación compila dos investigaciones en inicio se llevó a cabo una investigación cualitativa, que buscaba explorar, que productos alimenticios y de higiene personal eran considerados lujo para personas de bajos recursos en condición de pobreza en la ciudad de Bogotá. Se llevó a cabo un estudio de corte cualitativo, con triangulación de técnicas El análisis de datos se llevó a cabo a través de codificación abierta, axial y selectiva. El segundo estudio buscaba poner a prueba la relación entre los efectos generales del lujo (efecto Veblen, efecto esnob, efecto hedónico, efecto de perfeccionismo) y la intención de compra. Se llevó a cabo un estudio de corte cuantitativo, se llevó a cabo un análisis de ecuaciones estructurales por (PLS). Los resultados muestran que el materialismo influye positiva y significativamente con todos los efectos de lujo, independientemente de la categoría. El involucramiento influye positiva y significativamente con el conocimiento y este positiva y significativamente con la intención de compra de bienes de lujo, independientemente de la categoría. En la categoría alimentos se observa una influencia positiva y significativa de los efectos Veblen, hedónico y perfeccionismo con la intención de compra. Para la categoría higiene personal se observa que los efectos hedónico y perfeccionismo influyen positiva y significativamente, no se encontró evidencia de la influencia del efecto Veblen en esta categoría. No se encontró evidencia de influencia del efecto esnob ni arrastre en ninguna categoría. </w:t>
            </w:r>
          </w:p>
        </w:tc>
      </w:tr>
      <w:tr w:rsidR="000F7058" w14:paraId="6E058C13" w14:textId="77777777" w:rsidTr="003276CE">
        <w:tc>
          <w:tcPr>
            <w:tcW w:w="12996" w:type="dxa"/>
          </w:tcPr>
          <w:p w14:paraId="2A4D2EB4" w14:textId="77777777" w:rsidR="000F7058" w:rsidRDefault="000F7058" w:rsidP="003276CE">
            <w:pPr>
              <w:jc w:val="center"/>
              <w:rPr>
                <w:b/>
              </w:rPr>
            </w:pPr>
          </w:p>
        </w:tc>
      </w:tr>
      <w:tr w:rsidR="000F7058" w14:paraId="75D00CE2" w14:textId="77777777" w:rsidTr="003276CE">
        <w:tc>
          <w:tcPr>
            <w:tcW w:w="12996" w:type="dxa"/>
          </w:tcPr>
          <w:p w14:paraId="65DBA930" w14:textId="77777777" w:rsidR="00D86A7A" w:rsidRPr="00D86A7A" w:rsidRDefault="00D86A7A" w:rsidP="00D86A7A">
            <w:pPr>
              <w:jc w:val="center"/>
            </w:pPr>
            <w:r w:rsidRPr="00D86A7A">
              <w:t>Liliana Yamile Rodríguez González</w:t>
            </w:r>
          </w:p>
          <w:p w14:paraId="36F6930B" w14:textId="77777777" w:rsidR="00D86A7A" w:rsidRPr="00D86A7A" w:rsidRDefault="00D86A7A" w:rsidP="00D86A7A">
            <w:pPr>
              <w:jc w:val="center"/>
            </w:pPr>
            <w:r w:rsidRPr="00D86A7A">
              <w:t xml:space="preserve"> Fundación Universitaria Konrad Lorenz</w:t>
            </w:r>
          </w:p>
          <w:p w14:paraId="2C73E976" w14:textId="77777777" w:rsidR="000F7058" w:rsidRDefault="00D86A7A" w:rsidP="00D86A7A">
            <w:pPr>
              <w:jc w:val="center"/>
              <w:rPr>
                <w:b/>
              </w:rPr>
            </w:pPr>
            <w:r w:rsidRPr="00D86A7A">
              <w:tab/>
              <w:t>Efecto del valor de la consecuencia en la recuperación de la información en contextos de consumo</w:t>
            </w:r>
          </w:p>
        </w:tc>
      </w:tr>
      <w:tr w:rsidR="000F7058" w14:paraId="7E98E4E0" w14:textId="77777777" w:rsidTr="003276CE">
        <w:tc>
          <w:tcPr>
            <w:tcW w:w="12996" w:type="dxa"/>
          </w:tcPr>
          <w:p w14:paraId="498B4312" w14:textId="77777777" w:rsidR="000F7058" w:rsidRPr="00AE65D0" w:rsidRDefault="009D39CD" w:rsidP="009D39CD">
            <w:pPr>
              <w:jc w:val="both"/>
            </w:pPr>
            <w:r w:rsidRPr="00AE65D0">
              <w:rPr>
                <w:b/>
              </w:rPr>
              <w:t>Resumen.</w:t>
            </w:r>
            <w:r w:rsidRPr="00AE65D0">
              <w:t xml:space="preserve"> </w:t>
            </w:r>
            <w:r w:rsidR="00AE65D0" w:rsidRPr="00AE65D0">
              <w:t xml:space="preserve">La Teoría Atencional de Procesamiento Contextual propone que la especificidad contextual depende de la atención que se le presta al contexto en el momento del aprendizaje, lo que produce que toda la información aprendida en ese contexto se convierte en dependiente de éste. Cuatro experimentos probaron el efecto </w:t>
            </w:r>
            <w:r w:rsidR="00AE65D0" w:rsidRPr="00AE65D0">
              <w:lastRenderedPageBreak/>
              <w:t xml:space="preserve">de cambio de contexto en condiciones de valor diferencial de descuento asociado a productos en tiendas. En el primer experimento se presentó el producto X asociado a diferentes valores de descuento (50%, 30%, sin descuento) en la tienda A, y en la tienda B se presentó el producto Y sin descuento. En los experimentos 2, 3 y 4 se mantuvo la misma presentación de productos, pero asociando al producto X sólo uno de los valores de descuento de forma fija. Resultados preliminares sugieren la presencia del efecto de cambio de contexto para el producto X, pero no para el producto Y en el experimento 1; mientras que, en la condición de descuento fijo, este efecto se evidenció en los productos X y </w:t>
            </w:r>
            <w:proofErr w:type="spellStart"/>
            <w:r w:rsidR="00AE65D0" w:rsidRPr="00AE65D0">
              <w:t>Y</w:t>
            </w:r>
            <w:proofErr w:type="spellEnd"/>
            <w:r w:rsidR="00AE65D0" w:rsidRPr="00AE65D0">
              <w:t xml:space="preserve"> cuando el valor de descuento fue de 50%; en el producto X cuando el descuento fue de 30%, y no se evidenció cuando los productos se presentaron sin descuento.</w:t>
            </w:r>
          </w:p>
        </w:tc>
      </w:tr>
      <w:tr w:rsidR="000F7058" w14:paraId="439CF6FF" w14:textId="77777777" w:rsidTr="003276CE">
        <w:tc>
          <w:tcPr>
            <w:tcW w:w="12996" w:type="dxa"/>
          </w:tcPr>
          <w:p w14:paraId="4A914F53" w14:textId="77777777" w:rsidR="000F7058" w:rsidRDefault="000F7058" w:rsidP="003276CE">
            <w:pPr>
              <w:jc w:val="center"/>
              <w:rPr>
                <w:b/>
              </w:rPr>
            </w:pPr>
          </w:p>
        </w:tc>
      </w:tr>
    </w:tbl>
    <w:p w14:paraId="77BC784A" w14:textId="77777777" w:rsidR="008E1D22" w:rsidRDefault="008E1D22"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8E1D22" w14:paraId="33658C6A" w14:textId="77777777" w:rsidTr="003276CE">
        <w:tc>
          <w:tcPr>
            <w:tcW w:w="12996" w:type="dxa"/>
          </w:tcPr>
          <w:p w14:paraId="145F9F0E" w14:textId="77777777" w:rsidR="008E1D22" w:rsidRDefault="008E1D22" w:rsidP="003200DA">
            <w:pPr>
              <w:jc w:val="center"/>
              <w:rPr>
                <w:b/>
              </w:rPr>
            </w:pPr>
            <w:r>
              <w:rPr>
                <w:b/>
              </w:rPr>
              <w:t xml:space="preserve">Simposio </w:t>
            </w:r>
            <w:r w:rsidR="003200DA">
              <w:rPr>
                <w:b/>
              </w:rPr>
              <w:t>3</w:t>
            </w:r>
            <w:r>
              <w:rPr>
                <w:b/>
              </w:rPr>
              <w:t>B</w:t>
            </w:r>
            <w:r w:rsidR="005A6F45">
              <w:rPr>
                <w:b/>
              </w:rPr>
              <w:t>: Factores psicológicos y gestión curricular</w:t>
            </w:r>
          </w:p>
        </w:tc>
      </w:tr>
      <w:tr w:rsidR="008E1D22" w14:paraId="169E1DC4" w14:textId="77777777" w:rsidTr="003276CE">
        <w:tc>
          <w:tcPr>
            <w:tcW w:w="12996" w:type="dxa"/>
          </w:tcPr>
          <w:p w14:paraId="59C89E6A" w14:textId="77777777" w:rsidR="009B0D07" w:rsidRPr="009B0D07" w:rsidRDefault="009B0D07" w:rsidP="003276CE">
            <w:pPr>
              <w:jc w:val="center"/>
            </w:pPr>
            <w:r w:rsidRPr="009B0D07">
              <w:rPr>
                <w:b/>
              </w:rPr>
              <w:tab/>
            </w:r>
            <w:r w:rsidRPr="009B0D07">
              <w:t xml:space="preserve">Pilar del Carmen Bonilla Valencia </w:t>
            </w:r>
          </w:p>
          <w:p w14:paraId="00723588" w14:textId="77777777" w:rsidR="008E1D22" w:rsidRPr="009B0D07" w:rsidRDefault="009B0D07" w:rsidP="003276CE">
            <w:pPr>
              <w:jc w:val="center"/>
            </w:pPr>
            <w:r w:rsidRPr="009B0D07">
              <w:t>Universidad del Valle</w:t>
            </w:r>
          </w:p>
          <w:p w14:paraId="387C60E6" w14:textId="77777777" w:rsidR="009B0D07" w:rsidRPr="009B0D07" w:rsidRDefault="009B0D07" w:rsidP="003276CE">
            <w:pPr>
              <w:jc w:val="center"/>
            </w:pPr>
            <w:r w:rsidRPr="009B0D07">
              <w:t>La producción multimodal entre niños de 9 y 11 años  de edad en un espacio digital</w:t>
            </w:r>
          </w:p>
        </w:tc>
      </w:tr>
      <w:tr w:rsidR="008E1D22" w14:paraId="035D4B98" w14:textId="77777777" w:rsidTr="003276CE">
        <w:tc>
          <w:tcPr>
            <w:tcW w:w="12996" w:type="dxa"/>
          </w:tcPr>
          <w:p w14:paraId="4AE8AEB6" w14:textId="77777777" w:rsidR="00220650" w:rsidRPr="00220650" w:rsidRDefault="008E1D22" w:rsidP="00220650">
            <w:pPr>
              <w:jc w:val="both"/>
            </w:pPr>
            <w:r w:rsidRPr="00542EC1">
              <w:rPr>
                <w:b/>
              </w:rPr>
              <w:t>Resumen</w:t>
            </w:r>
            <w:r w:rsidRPr="00220650">
              <w:t xml:space="preserve">. </w:t>
            </w:r>
            <w:r w:rsidR="00220650" w:rsidRPr="00220650">
              <w:t>El propósito de la presentación es exponer los avances en los análisis de la investigación doctoral: La producción multimodal entre niños de 9 y 11 años de edad en un espacio digital. En esta investigación se diseñó un espacio digital en la plataforma Google Sites, denominado “Creando juntos” en el cual los niños pueden crear diversos tipos de producciones multimodales, como videos, cuentos y un blog.</w:t>
            </w:r>
          </w:p>
          <w:p w14:paraId="5B835308" w14:textId="77777777" w:rsidR="00220650" w:rsidRPr="00220650" w:rsidRDefault="00220650" w:rsidP="00220650">
            <w:pPr>
              <w:jc w:val="both"/>
            </w:pPr>
            <w:r w:rsidRPr="00220650">
              <w:t xml:space="preserve"> </w:t>
            </w:r>
          </w:p>
          <w:p w14:paraId="58154EB8" w14:textId="77777777" w:rsidR="00220650" w:rsidRPr="00220650" w:rsidRDefault="00220650" w:rsidP="00220650">
            <w:pPr>
              <w:jc w:val="both"/>
            </w:pPr>
            <w:r w:rsidRPr="00220650">
              <w:t>Planteamiento del problema. El interés por la producción multimodal y colaborativa en un escenario digital se deriva de la reflexión sobre las prácticas educativas y la necesidad de proponer nuevas formas de estar con el otro y de construir conocimiento (</w:t>
            </w:r>
            <w:proofErr w:type="spellStart"/>
            <w:r w:rsidRPr="00220650">
              <w:t>Adlington</w:t>
            </w:r>
            <w:proofErr w:type="spellEnd"/>
            <w:r w:rsidRPr="00220650">
              <w:t xml:space="preserve"> &amp; </w:t>
            </w:r>
            <w:proofErr w:type="spellStart"/>
            <w:r w:rsidRPr="00220650">
              <w:t>Feez</w:t>
            </w:r>
            <w:proofErr w:type="spellEnd"/>
            <w:r w:rsidRPr="00220650">
              <w:t xml:space="preserve">, 2019; De Castro, 2017; </w:t>
            </w:r>
            <w:proofErr w:type="spellStart"/>
            <w:r w:rsidRPr="00220650">
              <w:t>Pifarré</w:t>
            </w:r>
            <w:proofErr w:type="spellEnd"/>
            <w:r w:rsidRPr="00220650">
              <w:t xml:space="preserve"> &amp; Fisher, 2011; </w:t>
            </w:r>
            <w:proofErr w:type="spellStart"/>
            <w:r w:rsidRPr="00220650">
              <w:t>Woo</w:t>
            </w:r>
            <w:proofErr w:type="spellEnd"/>
            <w:r w:rsidRPr="00220650">
              <w:t>, Chu &amp; Li, 2013). Lo cual implica reconocer que en los ambientes educativos mediados por la tecnología digital se pueden promover la colaboración y la construcción conjunta de conocimiento. Los cambios desencadenados por la pandemia del COVID-19 vividos a nivel social, económico y cultural en las sociedades, exigen repensar los procesos educativos y hacen relevante una mirada crítica frente a la forma como se usan en la educación las herramientas digitales, analizar sus posibilidades y limitaciones.</w:t>
            </w:r>
          </w:p>
          <w:p w14:paraId="4479C980" w14:textId="77777777" w:rsidR="00220650" w:rsidRPr="00220650" w:rsidRDefault="00220650" w:rsidP="00220650">
            <w:pPr>
              <w:jc w:val="both"/>
            </w:pPr>
          </w:p>
          <w:p w14:paraId="0F34197B" w14:textId="77777777" w:rsidR="00220650" w:rsidRPr="00220650" w:rsidRDefault="00220650" w:rsidP="00220650">
            <w:pPr>
              <w:jc w:val="both"/>
            </w:pPr>
            <w:r w:rsidRPr="00220650">
              <w:t>Método.  La investigación es cualitativa y presenta un estudio de caso único con un diseño integrado, el caso está constituido por el seguimiento de las producciones multimodales de dos diadas de niñas de 9 y 11 años de edad.</w:t>
            </w:r>
          </w:p>
          <w:p w14:paraId="5CC23F53" w14:textId="77777777" w:rsidR="00220650" w:rsidRPr="00220650" w:rsidRDefault="00220650" w:rsidP="00220650">
            <w:pPr>
              <w:jc w:val="both"/>
            </w:pPr>
            <w:r w:rsidRPr="00220650">
              <w:t>Para analizar las producciones de las diadas se plantearon dos categorías: Usos de recursos semióticos en las producciones multimodales y Formas de interacción en el proceso de producción multimodal.</w:t>
            </w:r>
          </w:p>
          <w:p w14:paraId="23044379" w14:textId="77777777" w:rsidR="00220650" w:rsidRPr="00220650" w:rsidRDefault="00220650" w:rsidP="00220650">
            <w:pPr>
              <w:jc w:val="both"/>
            </w:pPr>
          </w:p>
          <w:p w14:paraId="759D3725" w14:textId="77777777" w:rsidR="00220650" w:rsidRPr="00220650" w:rsidRDefault="00220650" w:rsidP="00220650">
            <w:pPr>
              <w:jc w:val="both"/>
            </w:pPr>
            <w:r w:rsidRPr="00220650">
              <w:t xml:space="preserve">Resultados (preliminares).  El proceso de producción multimodal de las dos diadas estuvo enriquecido por el uso diversificado de recursos semióticos. Los discursos orales y escritos, las imágenes, los emoticones, los videos musicales y el diseño web básico que </w:t>
            </w:r>
            <w:r w:rsidRPr="00220650">
              <w:lastRenderedPageBreak/>
              <w:t xml:space="preserve">construyeron las niñas dieron lugar a la configuración de significados y la unidad de sentido en las producciones. En las formas de interacción de las niñas durante el proceso de producción multimodal se evidenció la construcción de relaciones dialógicas en tres niveles distintos: intra diadas, </w:t>
            </w:r>
            <w:proofErr w:type="spellStart"/>
            <w:r w:rsidRPr="00220650">
              <w:t>interdiadas</w:t>
            </w:r>
            <w:proofErr w:type="spellEnd"/>
            <w:r w:rsidRPr="00220650">
              <w:t xml:space="preserve"> y entre el conjunto de actores de la actividad colaborativa. </w:t>
            </w:r>
          </w:p>
          <w:p w14:paraId="2B597D81" w14:textId="77777777" w:rsidR="00220650" w:rsidRPr="00220650" w:rsidRDefault="00220650" w:rsidP="00220650">
            <w:pPr>
              <w:jc w:val="both"/>
            </w:pPr>
          </w:p>
          <w:p w14:paraId="23308978" w14:textId="77777777" w:rsidR="00220650" w:rsidRPr="00220650" w:rsidRDefault="00220650" w:rsidP="00220650">
            <w:pPr>
              <w:jc w:val="both"/>
            </w:pPr>
            <w:r w:rsidRPr="00220650">
              <w:t>Conclusiones (preliminares)</w:t>
            </w:r>
          </w:p>
          <w:p w14:paraId="18167EA3" w14:textId="77777777" w:rsidR="00220650" w:rsidRPr="00220650" w:rsidRDefault="00220650" w:rsidP="00220650">
            <w:pPr>
              <w:jc w:val="both"/>
            </w:pPr>
            <w:r w:rsidRPr="00220650">
              <w:t>El análisis preliminar del proceso de producción multimodal entre pares, permite concluir que el espacio digital Creando juntos constituye un aporte a la innovación en las actividades educativas para niños, dado que cuenta con una diversidad de registros semióticos que facilitan su uso y exploración y la actividad que se propone a los niños en este espacio promueve que se asuman como constructores y coautores de producciones multimodales en una experiencia colaborativa mediada por la tecnología digital.</w:t>
            </w:r>
          </w:p>
          <w:p w14:paraId="3204F5FA" w14:textId="77777777" w:rsidR="008E1D22" w:rsidRPr="00220650" w:rsidRDefault="00220650" w:rsidP="00220650">
            <w:pPr>
              <w:jc w:val="both"/>
            </w:pPr>
            <w:r w:rsidRPr="00220650">
              <w:t>Las producciones multimodales de niñas en el espacio digital Creando Juntos nos permiten reconocer la incidencia de la tecnología digital en las prácticas educativas, y requiere una reflexión sobre cómo aprender y enseñar en entornos digitales, y cómo proponer nuevas provocaciones a la creatividad infantil.</w:t>
            </w:r>
          </w:p>
        </w:tc>
      </w:tr>
      <w:tr w:rsidR="00B53326" w14:paraId="341AD3C8" w14:textId="77777777" w:rsidTr="003276CE">
        <w:tc>
          <w:tcPr>
            <w:tcW w:w="12996" w:type="dxa"/>
          </w:tcPr>
          <w:p w14:paraId="2D29BC8B" w14:textId="77777777" w:rsidR="00B53326" w:rsidRDefault="00B53326" w:rsidP="00220650">
            <w:pPr>
              <w:jc w:val="both"/>
            </w:pPr>
          </w:p>
          <w:p w14:paraId="3532EE6C" w14:textId="77777777" w:rsidR="002C0ADF" w:rsidRDefault="002C0ADF" w:rsidP="00220650">
            <w:pPr>
              <w:jc w:val="both"/>
            </w:pPr>
          </w:p>
          <w:p w14:paraId="7DF17B79" w14:textId="77777777" w:rsidR="002C0ADF" w:rsidRPr="00220650" w:rsidRDefault="002C0ADF" w:rsidP="00220650">
            <w:pPr>
              <w:jc w:val="both"/>
            </w:pPr>
          </w:p>
        </w:tc>
      </w:tr>
      <w:tr w:rsidR="00B53326" w14:paraId="7496A290" w14:textId="77777777" w:rsidTr="003276CE">
        <w:tc>
          <w:tcPr>
            <w:tcW w:w="12996" w:type="dxa"/>
          </w:tcPr>
          <w:p w14:paraId="043B7F32" w14:textId="77777777" w:rsidR="00567C54" w:rsidRDefault="00567C54" w:rsidP="00567C54">
            <w:pPr>
              <w:jc w:val="center"/>
            </w:pPr>
            <w:r w:rsidRPr="00567C54">
              <w:t>Mauricio Alexander Gómez Pedraza</w:t>
            </w:r>
          </w:p>
          <w:p w14:paraId="798B44FA" w14:textId="77777777" w:rsidR="00B53326" w:rsidRDefault="00567C54" w:rsidP="00567C54">
            <w:pPr>
              <w:jc w:val="center"/>
            </w:pPr>
            <w:r w:rsidRPr="00567C54">
              <w:t>Universidad Católica de Colombia</w:t>
            </w:r>
          </w:p>
          <w:p w14:paraId="6EE22447" w14:textId="77777777" w:rsidR="00567C54" w:rsidRPr="00220650" w:rsidRDefault="00567C54" w:rsidP="00567C54">
            <w:pPr>
              <w:jc w:val="center"/>
            </w:pPr>
            <w:r w:rsidRPr="00567C54">
              <w:t>Características de los protocolos para identificación del talento académico basados en los modelos de desarrollo</w:t>
            </w:r>
          </w:p>
        </w:tc>
      </w:tr>
      <w:tr w:rsidR="00B53326" w14:paraId="359BDA4E" w14:textId="77777777" w:rsidTr="003276CE">
        <w:tc>
          <w:tcPr>
            <w:tcW w:w="12996" w:type="dxa"/>
          </w:tcPr>
          <w:p w14:paraId="51E7685F" w14:textId="77777777" w:rsidR="00567C54" w:rsidRPr="00220650" w:rsidRDefault="00567C54" w:rsidP="00D32F71">
            <w:pPr>
              <w:jc w:val="both"/>
            </w:pPr>
            <w:r w:rsidRPr="00567C54">
              <w:rPr>
                <w:b/>
              </w:rPr>
              <w:t xml:space="preserve">Resumen. </w:t>
            </w:r>
            <w:r w:rsidR="00D32F71" w:rsidRPr="00D32F71">
              <w:t xml:space="preserve">Aunque se habla con gran frecuencia del término talento académico y la importancia de su identificación y atención en el ámbito educativo, no hay consenso conceptual al respecto, pues coexisten distintos modelos comprensivos sobre dicho fenómeno (habilidades, dominios, cognitivos, desempeño, contextuales, sistémicos y de desarrollo). Partiendo de entender el talento académico -desde las perspectivas desarrollistas- como un fenómeno complejo, multifactorial, de carácter aprendido y dinámico, que transita progresivamente desde la condición potencial innata, hacia la manifestación concreta del alto desempeño en un campo específico y cuyo reconocimiento es fundamental para la educación inclusiva, se revisan 7 protocolos y 5 guías enmarcadas en esta perspectiva, que se aplican en varios países de América y Europa para la identificación de estudiantes con esta condición en entornos escolares formales, encontrándose que estas guías cuentan con diversas definiciones estatales (más que teóricas), sugieren una serie de estrategias y pruebas de identificación que varían según la región, el nivel y el dominio, que se centran sobre factores cognitivos y de rendimiento, aplicándose en diversos momentos del ciclo académico -principalmente en la infancia-, bajo la responsabilidad primordial de docentes y orientadores. Se concluye sobre la necesidad de unificar criterios teóricos y metodológicos, implementar prácticas basadas en evidencia, involucrar a más agentes, considerar factores no cognitivos, continuar los procesos durante la adolescencia y asegurar que la identificación sirva de </w:t>
            </w:r>
            <w:r w:rsidR="00D32F71" w:rsidRPr="00D32F71">
              <w:lastRenderedPageBreak/>
              <w:t>base para fomentar el desarrollo de estas capacidades, más allá de la rotulación y jerarquización.</w:t>
            </w:r>
          </w:p>
        </w:tc>
      </w:tr>
      <w:tr w:rsidR="004426D7" w14:paraId="64AA3D71" w14:textId="77777777" w:rsidTr="003276CE">
        <w:tc>
          <w:tcPr>
            <w:tcW w:w="12996" w:type="dxa"/>
          </w:tcPr>
          <w:p w14:paraId="3712BB5A" w14:textId="77777777" w:rsidR="004426D7" w:rsidRPr="00567C54" w:rsidRDefault="004426D7" w:rsidP="00D32F71">
            <w:pPr>
              <w:jc w:val="both"/>
              <w:rPr>
                <w:b/>
              </w:rPr>
            </w:pPr>
          </w:p>
        </w:tc>
      </w:tr>
      <w:tr w:rsidR="004426D7" w14:paraId="53193690" w14:textId="77777777" w:rsidTr="003276CE">
        <w:tc>
          <w:tcPr>
            <w:tcW w:w="12996" w:type="dxa"/>
          </w:tcPr>
          <w:p w14:paraId="7203F868" w14:textId="77777777" w:rsidR="004426D7" w:rsidRPr="004426D7" w:rsidRDefault="004426D7" w:rsidP="004426D7">
            <w:pPr>
              <w:jc w:val="center"/>
            </w:pPr>
            <w:r w:rsidRPr="004426D7">
              <w:t xml:space="preserve">José Julián Kenji López </w:t>
            </w:r>
            <w:proofErr w:type="spellStart"/>
            <w:r w:rsidRPr="004426D7">
              <w:t>Takegami</w:t>
            </w:r>
            <w:proofErr w:type="spellEnd"/>
          </w:p>
          <w:p w14:paraId="1D5D9E40" w14:textId="77777777" w:rsidR="004426D7" w:rsidRPr="004426D7" w:rsidRDefault="004426D7" w:rsidP="004426D7">
            <w:pPr>
              <w:jc w:val="center"/>
            </w:pPr>
            <w:r w:rsidRPr="004426D7">
              <w:t>Universidad del Valle</w:t>
            </w:r>
          </w:p>
          <w:p w14:paraId="2B8CC974" w14:textId="77777777" w:rsidR="004426D7" w:rsidRPr="00567C54" w:rsidRDefault="004426D7" w:rsidP="004426D7">
            <w:pPr>
              <w:jc w:val="center"/>
              <w:rPr>
                <w:b/>
              </w:rPr>
            </w:pPr>
            <w:r w:rsidRPr="004426D7">
              <w:t>Emergencia de las Trayectorias de Pensamiento Científico de Adolescentes al Resolver una Situación Problema en STEM</w:t>
            </w:r>
          </w:p>
        </w:tc>
      </w:tr>
      <w:tr w:rsidR="004426D7" w14:paraId="3BAB6225" w14:textId="77777777" w:rsidTr="003276CE">
        <w:tc>
          <w:tcPr>
            <w:tcW w:w="12996" w:type="dxa"/>
          </w:tcPr>
          <w:p w14:paraId="094F20D6" w14:textId="77777777" w:rsidR="004426D7" w:rsidRPr="00567C54" w:rsidRDefault="004426D7" w:rsidP="00D32F71">
            <w:pPr>
              <w:jc w:val="both"/>
              <w:rPr>
                <w:b/>
              </w:rPr>
            </w:pPr>
            <w:r>
              <w:rPr>
                <w:b/>
              </w:rPr>
              <w:t xml:space="preserve">Resumen. </w:t>
            </w:r>
            <w:r w:rsidR="00640723" w:rsidRPr="00640723">
              <w:t xml:space="preserve">El objetivo del estudio es aportar conocimiento que permita avanzar en la comprensión del desarrollo del pensamiento científico, en el uso y la comprensión de mecanismos físicos de los estudiantes al resolver una situación problema en áreas STEM como las Máquinas de </w:t>
            </w:r>
            <w:proofErr w:type="spellStart"/>
            <w:r w:rsidR="00640723" w:rsidRPr="00640723">
              <w:t>Rube</w:t>
            </w:r>
            <w:proofErr w:type="spellEnd"/>
            <w:r w:rsidR="00640723" w:rsidRPr="00640723">
              <w:t xml:space="preserve"> Goldberg (MRG).Teniendo en mente la necesidad de favorecer el pensamiento científico, minimizar la apatía por las clases de ciencias y la posibilidad de las MRG para permitir varios intentos de resolución, desde una aproximación orientada a procesos, se busca explorar los siguientes aspectos: De qué manera emergen las trayectorias de pensamiento científico de estudiantes de 10° al resolver una situación problema en áreas STEM (MRG) que implican el uso y la comprensión de mecanismos físicos?¿Cuál es el papel que desempeñan las preguntas retadoras del investigador en la comprensión de estudiantes de 10º al resolver una situación problema en áreas STEM (MRG) que implican mecanismos físicos? Metodológicamente, el estudio es de tipo exploratorio, con un diseño </w:t>
            </w:r>
            <w:proofErr w:type="spellStart"/>
            <w:r w:rsidR="00640723" w:rsidRPr="00640723">
              <w:t>microgenético</w:t>
            </w:r>
            <w:proofErr w:type="spellEnd"/>
            <w:r w:rsidR="00640723" w:rsidRPr="00640723">
              <w:t xml:space="preserve"> que implica observaciones sucesivas y análisis a profundidad del pensamiento científico en estudiantes de décimo grado que participarán en 8 sesiones para diseñar MRG. El presente estudio busca aportar a la comprensión de la emergencia del pensamiento científico.</w:t>
            </w:r>
          </w:p>
        </w:tc>
      </w:tr>
      <w:tr w:rsidR="006F6D15" w14:paraId="2CA26854" w14:textId="77777777" w:rsidTr="003276CE">
        <w:tc>
          <w:tcPr>
            <w:tcW w:w="12996" w:type="dxa"/>
          </w:tcPr>
          <w:p w14:paraId="38E10C52" w14:textId="77777777" w:rsidR="006F6D15" w:rsidRDefault="006F6D15" w:rsidP="00D32F71">
            <w:pPr>
              <w:jc w:val="both"/>
              <w:rPr>
                <w:b/>
              </w:rPr>
            </w:pPr>
          </w:p>
        </w:tc>
      </w:tr>
      <w:tr w:rsidR="006F6D15" w14:paraId="41986420" w14:textId="77777777" w:rsidTr="003276CE">
        <w:tc>
          <w:tcPr>
            <w:tcW w:w="12996" w:type="dxa"/>
          </w:tcPr>
          <w:p w14:paraId="6D891D61" w14:textId="77777777" w:rsidR="006F6D15" w:rsidRPr="006F6D15" w:rsidRDefault="006F6D15" w:rsidP="006F6D15">
            <w:pPr>
              <w:jc w:val="center"/>
            </w:pPr>
            <w:proofErr w:type="spellStart"/>
            <w:r w:rsidRPr="006F6D15">
              <w:t>Merlyn</w:t>
            </w:r>
            <w:proofErr w:type="spellEnd"/>
            <w:r w:rsidRPr="006F6D15">
              <w:t xml:space="preserve"> Maritza Grueso Romero</w:t>
            </w:r>
          </w:p>
          <w:p w14:paraId="4038FB4A" w14:textId="77777777" w:rsidR="006F6D15" w:rsidRPr="006F6D15" w:rsidRDefault="006F6D15" w:rsidP="006F6D15">
            <w:pPr>
              <w:jc w:val="center"/>
            </w:pPr>
            <w:r w:rsidRPr="006F6D15">
              <w:t>Universidad San Buenaventura, Cali</w:t>
            </w:r>
          </w:p>
          <w:p w14:paraId="650D12D5" w14:textId="77777777" w:rsidR="006F6D15" w:rsidRDefault="006F6D15" w:rsidP="006F6D15">
            <w:pPr>
              <w:jc w:val="center"/>
              <w:rPr>
                <w:b/>
              </w:rPr>
            </w:pPr>
            <w:r w:rsidRPr="006F6D15">
              <w:t>Gestión emocionalmente inteligente, clima docente y desempeño escolar un estudio empírico en una institución educativa pública colombiana</w:t>
            </w:r>
          </w:p>
        </w:tc>
      </w:tr>
      <w:tr w:rsidR="006F6D15" w14:paraId="690D56BE" w14:textId="77777777" w:rsidTr="003276CE">
        <w:tc>
          <w:tcPr>
            <w:tcW w:w="12996" w:type="dxa"/>
          </w:tcPr>
          <w:p w14:paraId="0E45E4F0" w14:textId="77777777" w:rsidR="002B7897" w:rsidRPr="002B7897" w:rsidRDefault="007D30B0" w:rsidP="002B7897">
            <w:pPr>
              <w:jc w:val="both"/>
            </w:pPr>
            <w:r w:rsidRPr="002B7897">
              <w:rPr>
                <w:b/>
              </w:rPr>
              <w:t>Resumen.</w:t>
            </w:r>
            <w:r w:rsidRPr="002B7897">
              <w:t xml:space="preserve"> </w:t>
            </w:r>
            <w:r w:rsidR="002B7897" w:rsidRPr="002B7897">
              <w:t xml:space="preserve">Introducción. La calidad de las instituciones educativas depende de múltiples factores. Este proyecto surge de una pregunta: ¿por qué, en igualdad de recursos organizacionales, aparecen asimetrías entre centros en rendimiento escolar? La hipótesis que lo orienta es la de que este rendimiento asimétrico es imputable a las diferencias en cuanto a inteligencia emocional de sus respectivos directivos. Su objetivo es analizar la incidencia de la inteligencia emocional del personal directivo en el clima laboral entre el profesorado y en la calidad del desempeño de los estudiantes. </w:t>
            </w:r>
          </w:p>
          <w:p w14:paraId="2A6C7F57" w14:textId="77777777" w:rsidR="002B7897" w:rsidRPr="002B7897" w:rsidRDefault="002B7897" w:rsidP="002B7897">
            <w:pPr>
              <w:jc w:val="both"/>
            </w:pPr>
            <w:r w:rsidRPr="002B7897">
              <w:t xml:space="preserve">Método. Mediante un diseño transversal, correlacional y mixto, se recogerá información cuantitativa mediante una encuesta y la cualitativa mediante entrevista, grupo focal, diario de campo y observación participante. La primera será tratada mediante estadística descriptiva y la segunda mediante análisis de contenido. La población del estudio serán los </w:t>
            </w:r>
            <w:proofErr w:type="spellStart"/>
            <w:r w:rsidRPr="002B7897">
              <w:t>stakeholders</w:t>
            </w:r>
            <w:proofErr w:type="spellEnd"/>
            <w:r w:rsidRPr="002B7897">
              <w:t xml:space="preserve"> (directivos, docentes, profesionales de servicios, padres y estudiantes) de los centros, a quienes se accederá mediante muestreo de conveniencia.</w:t>
            </w:r>
          </w:p>
          <w:p w14:paraId="1F5DF045" w14:textId="77777777" w:rsidR="002B7897" w:rsidRPr="002B7897" w:rsidRDefault="002B7897" w:rsidP="002B7897">
            <w:pPr>
              <w:jc w:val="both"/>
            </w:pPr>
            <w:r w:rsidRPr="002B7897">
              <w:t xml:space="preserve">Resultados (esperados)/Discusión Conclusiones. Se evidenciará la incidencia de la inteligencia emocional del personal directivo en el clima laboral entre el profesorado y </w:t>
            </w:r>
            <w:r w:rsidRPr="002B7897">
              <w:lastRenderedPageBreak/>
              <w:t xml:space="preserve">en la calidad del desempeño de los estudiantes. De ello, derivarán propuestas de mejora de la gestión.  </w:t>
            </w:r>
          </w:p>
          <w:p w14:paraId="71D73B5D" w14:textId="77777777" w:rsidR="007D30B0" w:rsidRPr="002B7897" w:rsidRDefault="002B7897" w:rsidP="002B7897">
            <w:pPr>
              <w:jc w:val="both"/>
            </w:pPr>
            <w:r w:rsidRPr="002B7897">
              <w:t xml:space="preserve">Palabras clave: inteligencia emocional, institución educativa, clima laboral, desempeño, directivos, docentes, estudiantes. </w:t>
            </w:r>
          </w:p>
        </w:tc>
      </w:tr>
    </w:tbl>
    <w:p w14:paraId="3FC5AFE2" w14:textId="77777777" w:rsidR="008E1D22" w:rsidRDefault="008E1D22"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5A6F45" w14:paraId="7FA8B220" w14:textId="77777777" w:rsidTr="003276CE">
        <w:tc>
          <w:tcPr>
            <w:tcW w:w="12996" w:type="dxa"/>
          </w:tcPr>
          <w:p w14:paraId="1DF94A6B" w14:textId="77777777" w:rsidR="005A6F45" w:rsidRDefault="005A6F45" w:rsidP="005A6F45">
            <w:pPr>
              <w:jc w:val="center"/>
              <w:rPr>
                <w:b/>
              </w:rPr>
            </w:pPr>
            <w:r>
              <w:rPr>
                <w:b/>
              </w:rPr>
              <w:t>Simposio 3C</w:t>
            </w:r>
            <w:r w:rsidR="0053496C">
              <w:rPr>
                <w:b/>
              </w:rPr>
              <w:t>: Cognición y efectos de las experiencias tempranas</w:t>
            </w:r>
          </w:p>
        </w:tc>
      </w:tr>
      <w:tr w:rsidR="005A6F45" w14:paraId="32BE518E" w14:textId="77777777" w:rsidTr="003276CE">
        <w:tc>
          <w:tcPr>
            <w:tcW w:w="12996" w:type="dxa"/>
          </w:tcPr>
          <w:p w14:paraId="05C66BDE" w14:textId="77777777" w:rsidR="00096F3C" w:rsidRPr="00096F3C" w:rsidRDefault="00096F3C" w:rsidP="003276CE">
            <w:pPr>
              <w:jc w:val="center"/>
            </w:pPr>
            <w:r w:rsidRPr="00096F3C">
              <w:t xml:space="preserve">Melisa Alejandra Martínez Gallego </w:t>
            </w:r>
          </w:p>
          <w:p w14:paraId="2824C90A" w14:textId="77777777" w:rsidR="00096F3C" w:rsidRPr="00096F3C" w:rsidRDefault="00096F3C" w:rsidP="003276CE">
            <w:pPr>
              <w:jc w:val="center"/>
            </w:pPr>
            <w:r w:rsidRPr="00096F3C">
              <w:t>Universidad Nacional de Colombia</w:t>
            </w:r>
            <w:r w:rsidRPr="00096F3C">
              <w:tab/>
            </w:r>
          </w:p>
          <w:p w14:paraId="2641509D" w14:textId="77777777" w:rsidR="005A6F45" w:rsidRDefault="00096F3C" w:rsidP="00096F3C">
            <w:pPr>
              <w:jc w:val="center"/>
              <w:rPr>
                <w:b/>
              </w:rPr>
            </w:pPr>
            <w:r w:rsidRPr="00096F3C">
              <w:t>Cognición Espacial: Estudio Comparativo en Niños y Adolescentes Colombianos Indígenas, Rurales y Urbanos</w:t>
            </w:r>
          </w:p>
        </w:tc>
      </w:tr>
      <w:tr w:rsidR="005A6F45" w14:paraId="4ED7A673" w14:textId="77777777" w:rsidTr="003276CE">
        <w:tc>
          <w:tcPr>
            <w:tcW w:w="12996" w:type="dxa"/>
          </w:tcPr>
          <w:p w14:paraId="4A4B891B" w14:textId="77777777" w:rsidR="005A6F45" w:rsidRDefault="005A6F45" w:rsidP="00096F3C">
            <w:pPr>
              <w:jc w:val="both"/>
              <w:rPr>
                <w:b/>
              </w:rPr>
            </w:pPr>
            <w:r>
              <w:rPr>
                <w:b/>
              </w:rPr>
              <w:t xml:space="preserve">Resumen. </w:t>
            </w:r>
            <w:r w:rsidR="001E3114" w:rsidRPr="001E3114">
              <w:t xml:space="preserve">El proyecto tiene como objetivo analizar las diferencias en el desarrollo entre niños y adolescentes de estos grupos, en tres dominios de la cognición espacial: navegación, acciones centradas en objetos y </w:t>
            </w:r>
            <w:proofErr w:type="spellStart"/>
            <w:r w:rsidR="001E3114" w:rsidRPr="001E3114">
              <w:t>espacialización</w:t>
            </w:r>
            <w:proofErr w:type="spellEnd"/>
            <w:r w:rsidR="001E3114" w:rsidRPr="001E3114">
              <w:t xml:space="preserve"> del pensamiento. Se plantea un diseño cuantitativo de tipo descriptivo correlacional, por medio de la aplicación de instrumentos que permiten evaluar los tres dominios de la cognición espacial, a partir de la clasificación intrínseca/extrínseca, estática/dinámica, y en el pensamiento espacial a partir de descripciones lingüísticas en tareas espaciales.</w:t>
            </w:r>
          </w:p>
        </w:tc>
      </w:tr>
      <w:tr w:rsidR="001E3114" w14:paraId="6698ED55" w14:textId="77777777" w:rsidTr="003276CE">
        <w:tc>
          <w:tcPr>
            <w:tcW w:w="12996" w:type="dxa"/>
          </w:tcPr>
          <w:p w14:paraId="42197B38" w14:textId="77777777" w:rsidR="001E3114" w:rsidRDefault="001E3114" w:rsidP="00096F3C">
            <w:pPr>
              <w:jc w:val="both"/>
              <w:rPr>
                <w:b/>
              </w:rPr>
            </w:pPr>
          </w:p>
        </w:tc>
      </w:tr>
      <w:tr w:rsidR="001E3114" w14:paraId="1D3D89CF" w14:textId="77777777" w:rsidTr="003276CE">
        <w:tc>
          <w:tcPr>
            <w:tcW w:w="12996" w:type="dxa"/>
          </w:tcPr>
          <w:p w14:paraId="13D5B57E" w14:textId="77777777" w:rsidR="00CD58EC" w:rsidRPr="00CD58EC" w:rsidRDefault="00CD58EC" w:rsidP="00CD58EC">
            <w:pPr>
              <w:jc w:val="center"/>
            </w:pPr>
            <w:proofErr w:type="spellStart"/>
            <w:r w:rsidRPr="00CD58EC">
              <w:t>Danicza</w:t>
            </w:r>
            <w:proofErr w:type="spellEnd"/>
            <w:r w:rsidRPr="00CD58EC">
              <w:t xml:space="preserve"> Martínez Morales</w:t>
            </w:r>
          </w:p>
          <w:p w14:paraId="08A04D90" w14:textId="77777777" w:rsidR="00CD58EC" w:rsidRPr="00CD58EC" w:rsidRDefault="00CD58EC" w:rsidP="00CD58EC">
            <w:pPr>
              <w:jc w:val="center"/>
            </w:pPr>
            <w:r w:rsidRPr="00CD58EC">
              <w:t xml:space="preserve"> Universidad San Buenaventura</w:t>
            </w:r>
          </w:p>
          <w:p w14:paraId="08CC35ED" w14:textId="77777777" w:rsidR="001E3114" w:rsidRDefault="00CD58EC" w:rsidP="00CD58EC">
            <w:pPr>
              <w:jc w:val="center"/>
              <w:rPr>
                <w:b/>
              </w:rPr>
            </w:pPr>
            <w:r w:rsidRPr="00CD58EC">
              <w:t>Las experiencias traumáticas relacionadas con la exposición distal de adversidad en la infancia y proximal de violencia sociopolítica, relacionadas con el Trastorno Cognoscitivo Leve en la edad adulta en el departamento de Antioquia</w:t>
            </w:r>
          </w:p>
        </w:tc>
      </w:tr>
      <w:tr w:rsidR="001E3114" w14:paraId="150CE226" w14:textId="77777777" w:rsidTr="003276CE">
        <w:tc>
          <w:tcPr>
            <w:tcW w:w="12996" w:type="dxa"/>
          </w:tcPr>
          <w:p w14:paraId="5CDC9354" w14:textId="77777777" w:rsidR="001E3114" w:rsidRPr="00523100" w:rsidRDefault="004B4D39" w:rsidP="00096F3C">
            <w:pPr>
              <w:jc w:val="both"/>
            </w:pPr>
            <w:r w:rsidRPr="00523100">
              <w:rPr>
                <w:b/>
              </w:rPr>
              <w:t>Resumen</w:t>
            </w:r>
            <w:r w:rsidRPr="00523100">
              <w:t xml:space="preserve">. </w:t>
            </w:r>
            <w:r w:rsidR="00523100" w:rsidRPr="00523100">
              <w:t>Las experiencias adversas en la niñez, constituyen un estresante masivo con efectos adversos de larga duración en la salud cerebral, mental y física. La violencia, constituye uno de los mayores riesgos para el desarrollo neuropsicológico y emocional en los primeros años, y ser testigo o víctima de violencia ha sido considerado uno de los predictores más fuertes de trastornos mentales en la edad adulta. El objetivo de la propuesta de investigación es determinar la relación entre las experiencias traumáticas relacionadas con la exposición distal de adversidad en la infancia y proximal de violencia sociopolítica, con las diferencias neurocognitivas. Por ello se realizará un estudio cuantitativo transversal analítico donde se estudiarán simultáneamente las experiencias traumáticas relacionadas con la exposición distal de adversidad en la infancia y proximal de violencia sociopolítica con el Trastorno cognoscitivo leve en personas con edades comprendidas entre 49 a 80 años.   Para concluir es importante estudiar estos factores desde las ciencias sociales, humanas y de la salud para mejorar los procesos de evaluación y diagnóstico clínico; esto permitirá diferenciar el envejecimiento normal, los efectos cognitivos por trauma temprano y el deterioro cognitivo asociado a enfermedad neurológica o psiquiátrica.</w:t>
            </w:r>
          </w:p>
        </w:tc>
      </w:tr>
      <w:tr w:rsidR="009823B2" w14:paraId="53686294" w14:textId="77777777" w:rsidTr="003276CE">
        <w:tc>
          <w:tcPr>
            <w:tcW w:w="12996" w:type="dxa"/>
          </w:tcPr>
          <w:p w14:paraId="2A4C7D1C" w14:textId="77777777" w:rsidR="009823B2" w:rsidRPr="00523100" w:rsidRDefault="009823B2" w:rsidP="00096F3C">
            <w:pPr>
              <w:jc w:val="both"/>
              <w:rPr>
                <w:b/>
              </w:rPr>
            </w:pPr>
          </w:p>
        </w:tc>
      </w:tr>
      <w:tr w:rsidR="009823B2" w14:paraId="4B011660" w14:textId="77777777" w:rsidTr="003276CE">
        <w:tc>
          <w:tcPr>
            <w:tcW w:w="12996" w:type="dxa"/>
          </w:tcPr>
          <w:p w14:paraId="669AA593" w14:textId="77777777" w:rsidR="000D7649" w:rsidRPr="0015695E" w:rsidRDefault="000D7649" w:rsidP="000D7649">
            <w:pPr>
              <w:jc w:val="center"/>
            </w:pPr>
            <w:r w:rsidRPr="0015695E">
              <w:t xml:space="preserve">Saúl Rubio Tapia </w:t>
            </w:r>
          </w:p>
          <w:p w14:paraId="55CEE220" w14:textId="77777777" w:rsidR="000D7649" w:rsidRPr="0015695E" w:rsidRDefault="000D7649" w:rsidP="000D7649">
            <w:pPr>
              <w:jc w:val="center"/>
            </w:pPr>
            <w:r w:rsidRPr="0015695E">
              <w:t>Universidad Nacional de Colombia</w:t>
            </w:r>
            <w:r w:rsidRPr="0015695E">
              <w:tab/>
            </w:r>
          </w:p>
          <w:p w14:paraId="7CC5CAC6" w14:textId="77777777" w:rsidR="009823B2" w:rsidRPr="000D7649" w:rsidRDefault="000D7649" w:rsidP="000D7649">
            <w:pPr>
              <w:jc w:val="center"/>
            </w:pPr>
            <w:r>
              <w:lastRenderedPageBreak/>
              <w:t>Efectos del tipo de llamado sobre pruebas auditivas p</w:t>
            </w:r>
            <w:r w:rsidRPr="000D7649">
              <w:t>ost-nacimiento</w:t>
            </w:r>
            <w:r>
              <w:t xml:space="preserve"> en la c</w:t>
            </w:r>
            <w:r w:rsidRPr="000D7649">
              <w:t>odorniz Japonesa</w:t>
            </w:r>
          </w:p>
        </w:tc>
      </w:tr>
      <w:tr w:rsidR="009823B2" w14:paraId="18BA1F6A" w14:textId="77777777" w:rsidTr="003276CE">
        <w:tc>
          <w:tcPr>
            <w:tcW w:w="12996" w:type="dxa"/>
          </w:tcPr>
          <w:p w14:paraId="03C431E0" w14:textId="77777777" w:rsidR="009823B2" w:rsidRPr="00523100" w:rsidRDefault="009823B2" w:rsidP="000D7649">
            <w:pPr>
              <w:jc w:val="both"/>
              <w:rPr>
                <w:b/>
              </w:rPr>
            </w:pPr>
            <w:r>
              <w:rPr>
                <w:b/>
              </w:rPr>
              <w:lastRenderedPageBreak/>
              <w:t xml:space="preserve">Resumen. </w:t>
            </w:r>
            <w:r w:rsidR="00F100B2" w:rsidRPr="00F100B2">
              <w:t>El presente estudio está dirigido a conocer el efecto de la exposición embrionaria a diferentes tipos de llamado sobre la conducta posnatal de codornices japonesas. Se proponen dos experimentos que cumplen los siguientes propósitos: (1) determinar la preponderancia que tiene la secuencia de exposición a estímulos auditivos (llamados maternos) y/o visuales (una luz) prenatales, y (2) el valor de la ecología del comportamiento que, dada la naturaleza del propio estímulo, puede jugar un papel determinante en el aprendizaje de los patrones comportamentales presentes durante el periodo post-eclosión.</w:t>
            </w:r>
          </w:p>
        </w:tc>
      </w:tr>
    </w:tbl>
    <w:p w14:paraId="3753F276" w14:textId="77777777" w:rsidR="00D27763" w:rsidRDefault="00D27763" w:rsidP="003440DC">
      <w:pPr>
        <w:spacing w:line="240" w:lineRule="auto"/>
        <w:jc w:val="center"/>
        <w:rPr>
          <w:b/>
        </w:rPr>
      </w:pPr>
    </w:p>
    <w:p w14:paraId="2A896140" w14:textId="77777777" w:rsidR="00D27763" w:rsidRDefault="00D27763"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53496C" w14:paraId="7563DD76" w14:textId="77777777" w:rsidTr="003276CE">
        <w:tc>
          <w:tcPr>
            <w:tcW w:w="12996" w:type="dxa"/>
          </w:tcPr>
          <w:p w14:paraId="7364998E" w14:textId="77777777" w:rsidR="0053496C" w:rsidRDefault="0053496C" w:rsidP="0053496C">
            <w:pPr>
              <w:jc w:val="center"/>
              <w:rPr>
                <w:b/>
              </w:rPr>
            </w:pPr>
            <w:r>
              <w:rPr>
                <w:b/>
              </w:rPr>
              <w:t>Simposio 3D</w:t>
            </w:r>
            <w:r w:rsidR="0015695E">
              <w:rPr>
                <w:b/>
              </w:rPr>
              <w:t>: Otras dimensiones laborales</w:t>
            </w:r>
          </w:p>
        </w:tc>
      </w:tr>
      <w:tr w:rsidR="0053496C" w14:paraId="3CDED1D3" w14:textId="77777777" w:rsidTr="003276CE">
        <w:tc>
          <w:tcPr>
            <w:tcW w:w="12996" w:type="dxa"/>
          </w:tcPr>
          <w:p w14:paraId="1333E1E5" w14:textId="77777777" w:rsidR="00043174" w:rsidRPr="00043174" w:rsidRDefault="00043174" w:rsidP="00043174">
            <w:pPr>
              <w:jc w:val="center"/>
            </w:pPr>
            <w:r w:rsidRPr="00043174">
              <w:t xml:space="preserve">Beatriz Eugenia Prado </w:t>
            </w:r>
            <w:proofErr w:type="spellStart"/>
            <w:r w:rsidRPr="00043174">
              <w:t>Lucumi</w:t>
            </w:r>
            <w:proofErr w:type="spellEnd"/>
          </w:p>
          <w:p w14:paraId="486DC291" w14:textId="77777777" w:rsidR="0053496C" w:rsidRPr="00043174" w:rsidRDefault="00043174" w:rsidP="00043174">
            <w:pPr>
              <w:jc w:val="center"/>
            </w:pPr>
            <w:r w:rsidRPr="00043174">
              <w:t>Universidad San Buenaventura</w:t>
            </w:r>
          </w:p>
          <w:p w14:paraId="35CE0D3E" w14:textId="77777777" w:rsidR="00043174" w:rsidRDefault="00043174" w:rsidP="003276CE">
            <w:pPr>
              <w:jc w:val="center"/>
              <w:rPr>
                <w:b/>
              </w:rPr>
            </w:pPr>
            <w:r w:rsidRPr="00043174">
              <w:t>Trabajo y familia. Un estudio en trabajadores de protección infantil en tiempos de pandemia</w:t>
            </w:r>
          </w:p>
        </w:tc>
      </w:tr>
      <w:tr w:rsidR="0053496C" w14:paraId="7DEBD4AE" w14:textId="77777777" w:rsidTr="003276CE">
        <w:tc>
          <w:tcPr>
            <w:tcW w:w="12996" w:type="dxa"/>
          </w:tcPr>
          <w:p w14:paraId="4B245E5F" w14:textId="77777777" w:rsidR="002739D5" w:rsidRPr="00514746" w:rsidRDefault="0053496C" w:rsidP="002739D5">
            <w:pPr>
              <w:jc w:val="both"/>
              <w:rPr>
                <w:b/>
              </w:rPr>
            </w:pPr>
            <w:r w:rsidRPr="00514746">
              <w:rPr>
                <w:b/>
              </w:rPr>
              <w:t xml:space="preserve">Resumen. </w:t>
            </w:r>
          </w:p>
          <w:p w14:paraId="4D4550BB" w14:textId="77777777" w:rsidR="002739D5" w:rsidRPr="002739D5" w:rsidRDefault="002739D5" w:rsidP="002739D5">
            <w:pPr>
              <w:jc w:val="both"/>
            </w:pPr>
            <w:r w:rsidRPr="002739D5">
              <w:t>Introducción. En Colombia, el trabajo de protección infantil representa altos niveles de riesgo psicosocial de burnout, que se han acentuado con la reorganización de este servicio en tiempos de la pandemia COVID-19. En este contexto, la presente investigación tiene como objetivo analizar y mapear la reconfiguración de la relación trabajo-familia por los trabajadores de protección infantil durante la pandemia.</w:t>
            </w:r>
          </w:p>
          <w:p w14:paraId="7736F730" w14:textId="77777777" w:rsidR="002739D5" w:rsidRPr="002739D5" w:rsidRDefault="002739D5" w:rsidP="002739D5">
            <w:pPr>
              <w:jc w:val="both"/>
            </w:pPr>
          </w:p>
          <w:p w14:paraId="12B5E3CD" w14:textId="77777777" w:rsidR="002739D5" w:rsidRPr="002739D5" w:rsidRDefault="002739D5" w:rsidP="002739D5">
            <w:pPr>
              <w:jc w:val="both"/>
            </w:pPr>
            <w:r w:rsidRPr="002739D5">
              <w:t>Método. Se implementará un diseño cualitativo de corte narrativo, se recogerá la información empírica mediante entrevistas aplicadas a trabajadores de protección infantil, a quienes se accederá a través de un muestreo intencional, aplicando criterios de representatividad teórica. De igual manera se llevará a cabo rastreo de la temática que atañe a este estudio en redes sociales.</w:t>
            </w:r>
          </w:p>
          <w:p w14:paraId="66F0F095" w14:textId="77777777" w:rsidR="002739D5" w:rsidRPr="002739D5" w:rsidRDefault="002739D5" w:rsidP="002739D5">
            <w:pPr>
              <w:jc w:val="both"/>
            </w:pPr>
          </w:p>
          <w:p w14:paraId="444A7E69" w14:textId="77777777" w:rsidR="002739D5" w:rsidRPr="002739D5" w:rsidRDefault="002739D5" w:rsidP="002739D5">
            <w:pPr>
              <w:jc w:val="both"/>
            </w:pPr>
            <w:r w:rsidRPr="002739D5">
              <w:t>Resultados esperados. La investigación aportará elementos para el reconocimiento de nuevas facetas del trabajo de protección infantil en los escenarios creados por la pandemia, aportando elementos para la promoción de aspectos positivos como el uso de medios virtuales para la atención de usuarios y para la prevención de los negativos de la vivencia como lo son el desarrollo de manera alterna de los roles laboral y familiar.</w:t>
            </w:r>
          </w:p>
          <w:p w14:paraId="78E06CC4" w14:textId="77777777" w:rsidR="002739D5" w:rsidRPr="002739D5" w:rsidRDefault="002739D5" w:rsidP="002739D5">
            <w:pPr>
              <w:jc w:val="both"/>
            </w:pPr>
          </w:p>
          <w:p w14:paraId="54B98740" w14:textId="77777777" w:rsidR="00043174" w:rsidRPr="002739D5" w:rsidRDefault="002739D5" w:rsidP="00043174">
            <w:pPr>
              <w:jc w:val="both"/>
            </w:pPr>
            <w:r w:rsidRPr="002739D5">
              <w:t xml:space="preserve">Palabras clave: relación trabajo-familia, protección infantil, condiciones laborales, </w:t>
            </w:r>
            <w:proofErr w:type="spellStart"/>
            <w:r w:rsidRPr="002739D5">
              <w:t>covid</w:t>
            </w:r>
            <w:proofErr w:type="spellEnd"/>
            <w:r w:rsidRPr="002739D5">
              <w:t xml:space="preserve"> – 19.</w:t>
            </w:r>
          </w:p>
          <w:p w14:paraId="6C867964" w14:textId="77777777" w:rsidR="00043174" w:rsidRPr="002739D5" w:rsidRDefault="00043174" w:rsidP="00043174">
            <w:pPr>
              <w:jc w:val="both"/>
            </w:pPr>
          </w:p>
        </w:tc>
      </w:tr>
      <w:tr w:rsidR="00E5735D" w14:paraId="144B3CFF" w14:textId="77777777" w:rsidTr="003276CE">
        <w:tc>
          <w:tcPr>
            <w:tcW w:w="12996" w:type="dxa"/>
          </w:tcPr>
          <w:p w14:paraId="5B4B1204" w14:textId="77777777" w:rsidR="00E5735D" w:rsidRDefault="00E5735D" w:rsidP="003276CE">
            <w:pPr>
              <w:jc w:val="center"/>
              <w:rPr>
                <w:b/>
              </w:rPr>
            </w:pPr>
          </w:p>
          <w:p w14:paraId="69FF1890" w14:textId="77777777" w:rsidR="002568D8" w:rsidRDefault="002568D8" w:rsidP="003276CE">
            <w:pPr>
              <w:jc w:val="center"/>
              <w:rPr>
                <w:b/>
              </w:rPr>
            </w:pPr>
          </w:p>
          <w:p w14:paraId="7A5E48D7" w14:textId="77777777" w:rsidR="002568D8" w:rsidRDefault="002568D8" w:rsidP="003276CE">
            <w:pPr>
              <w:jc w:val="center"/>
              <w:rPr>
                <w:b/>
              </w:rPr>
            </w:pPr>
          </w:p>
          <w:p w14:paraId="0E1D5BF7" w14:textId="77777777" w:rsidR="002568D8" w:rsidRDefault="002568D8" w:rsidP="003276CE">
            <w:pPr>
              <w:jc w:val="center"/>
              <w:rPr>
                <w:b/>
              </w:rPr>
            </w:pPr>
          </w:p>
          <w:p w14:paraId="175DCFF3" w14:textId="77777777" w:rsidR="002568D8" w:rsidRDefault="002568D8" w:rsidP="003276CE">
            <w:pPr>
              <w:jc w:val="center"/>
              <w:rPr>
                <w:b/>
              </w:rPr>
            </w:pPr>
          </w:p>
          <w:p w14:paraId="04FF601E" w14:textId="77777777" w:rsidR="002568D8" w:rsidRDefault="002568D8" w:rsidP="003276CE">
            <w:pPr>
              <w:jc w:val="center"/>
              <w:rPr>
                <w:b/>
              </w:rPr>
            </w:pPr>
          </w:p>
          <w:p w14:paraId="54171346" w14:textId="77777777" w:rsidR="002568D8" w:rsidRDefault="002568D8" w:rsidP="003276CE">
            <w:pPr>
              <w:jc w:val="center"/>
              <w:rPr>
                <w:b/>
              </w:rPr>
            </w:pPr>
          </w:p>
        </w:tc>
      </w:tr>
      <w:tr w:rsidR="00E5735D" w14:paraId="6A419AC1" w14:textId="77777777" w:rsidTr="003276CE">
        <w:tc>
          <w:tcPr>
            <w:tcW w:w="12996" w:type="dxa"/>
          </w:tcPr>
          <w:p w14:paraId="256FD0F0" w14:textId="77777777" w:rsidR="00C05FFA" w:rsidRPr="002C0ADF" w:rsidRDefault="00C05FFA" w:rsidP="003276CE">
            <w:pPr>
              <w:jc w:val="center"/>
            </w:pPr>
            <w:r w:rsidRPr="002C0ADF">
              <w:t xml:space="preserve">Johana Sánchez Gómez </w:t>
            </w:r>
          </w:p>
          <w:p w14:paraId="4DAF59E8" w14:textId="77777777" w:rsidR="00C05FFA" w:rsidRPr="002C0ADF" w:rsidRDefault="00C05FFA" w:rsidP="003276CE">
            <w:pPr>
              <w:jc w:val="center"/>
            </w:pPr>
            <w:r w:rsidRPr="002C0ADF">
              <w:t>Universidad San Buenaventura de Cali</w:t>
            </w:r>
            <w:r w:rsidRPr="002C0ADF">
              <w:tab/>
            </w:r>
          </w:p>
          <w:p w14:paraId="5B190780" w14:textId="77777777" w:rsidR="00E5735D" w:rsidRDefault="00F3191C" w:rsidP="003276CE">
            <w:pPr>
              <w:jc w:val="center"/>
              <w:rPr>
                <w:b/>
              </w:rPr>
            </w:pPr>
            <w:r w:rsidRPr="002C0ADF">
              <w:t>Trabajo emocional en enfermería</w:t>
            </w:r>
          </w:p>
        </w:tc>
      </w:tr>
      <w:tr w:rsidR="00E5735D" w14:paraId="61A31B7F" w14:textId="77777777" w:rsidTr="003276CE">
        <w:tc>
          <w:tcPr>
            <w:tcW w:w="12996" w:type="dxa"/>
          </w:tcPr>
          <w:p w14:paraId="71DAD579" w14:textId="77777777" w:rsidR="00237FFE" w:rsidRDefault="00F3191C" w:rsidP="00237FFE">
            <w:pPr>
              <w:jc w:val="both"/>
              <w:rPr>
                <w:b/>
              </w:rPr>
            </w:pPr>
            <w:r>
              <w:rPr>
                <w:b/>
              </w:rPr>
              <w:t>Resumen.</w:t>
            </w:r>
            <w:r w:rsidR="00237FFE">
              <w:t xml:space="preserve"> </w:t>
            </w:r>
          </w:p>
          <w:p w14:paraId="733C6A5B" w14:textId="77777777" w:rsidR="00237FFE" w:rsidRPr="00237FFE" w:rsidRDefault="00237FFE" w:rsidP="00237FFE">
            <w:pPr>
              <w:jc w:val="both"/>
            </w:pPr>
            <w:r w:rsidRPr="00237FFE">
              <w:t>Introducción. Las emociones impregnan la vida personal y social, hasta el punto en que el trabajo emocional constituye un eje central de la experiencia laboral en profesiones relacionadas con servicios de atención a personas. El objetivo de esta investigación es analizar cómo viven las enfermeras el trabajo emocional, inherente a la ética del cuidado que orienta el ejercicio de su profesión.</w:t>
            </w:r>
          </w:p>
          <w:p w14:paraId="6FC9185F" w14:textId="77777777" w:rsidR="00237FFE" w:rsidRPr="00237FFE" w:rsidRDefault="00237FFE" w:rsidP="00237FFE">
            <w:pPr>
              <w:jc w:val="both"/>
            </w:pPr>
            <w:r w:rsidRPr="00237FFE">
              <w:t>Método:  El diseño del proyecto es de carácter cualitativo, descriptivo y transversal.  La población del estudio está integrada por el personal de enfermería empleado en servicios de salud colombianos al que se accederá mediante un muestreo de conveniencia. La información será recogida a través de entrevistas, grupos focales, documentos audiovisuales y chats. Posteriormente será analizada mediante análisis de contenido.</w:t>
            </w:r>
          </w:p>
          <w:p w14:paraId="10B8E355" w14:textId="77777777" w:rsidR="00237FFE" w:rsidRPr="00237FFE" w:rsidRDefault="00237FFE" w:rsidP="00237FFE">
            <w:pPr>
              <w:jc w:val="both"/>
            </w:pPr>
            <w:r w:rsidRPr="00237FFE">
              <w:t>Resultados esperados. Una caracterización general de la vivencia del trabajo emocional en el desempeño de la profesión de enfermería, así como de su relación con la ética del cuidado, con la calidad de vida laboral y con los recursos que el sistema y las organizaciones de salud proporcionan a sus trabajadores para que puedan afrontar las demandas de trabajo emocional</w:t>
            </w:r>
          </w:p>
          <w:p w14:paraId="1FF6003C" w14:textId="77777777" w:rsidR="00237FFE" w:rsidRPr="00237FFE" w:rsidRDefault="00237FFE" w:rsidP="00237FFE">
            <w:pPr>
              <w:jc w:val="both"/>
            </w:pPr>
            <w:r w:rsidRPr="00237FFE">
              <w:t>Conclusiones. Los hallazgos empíricos de esta investigación tendrán implicaciones teóricas, aplicaciones prácticas y abrirán nuevos frentes para la investigación en este campo.</w:t>
            </w:r>
          </w:p>
          <w:p w14:paraId="3B73B4CB" w14:textId="77777777" w:rsidR="00237FFE" w:rsidRPr="00237FFE" w:rsidRDefault="00237FFE" w:rsidP="00237FFE">
            <w:pPr>
              <w:jc w:val="both"/>
            </w:pPr>
          </w:p>
          <w:p w14:paraId="60EBB606" w14:textId="77777777" w:rsidR="00237FFE" w:rsidRPr="00237FFE" w:rsidRDefault="00237FFE" w:rsidP="00237FFE">
            <w:pPr>
              <w:jc w:val="both"/>
            </w:pPr>
            <w:r w:rsidRPr="00237FFE">
              <w:t>Palabras clave: emociones, trabajo emocional, cuidado, enfermería, recursos.</w:t>
            </w:r>
          </w:p>
          <w:p w14:paraId="4DB2DBB2" w14:textId="77777777" w:rsidR="00E5735D" w:rsidRDefault="00237FFE" w:rsidP="00237FFE">
            <w:pPr>
              <w:jc w:val="both"/>
              <w:rPr>
                <w:b/>
              </w:rPr>
            </w:pPr>
            <w:proofErr w:type="spellStart"/>
            <w:r w:rsidRPr="00237FFE">
              <w:t>Keywords</w:t>
            </w:r>
            <w:proofErr w:type="spellEnd"/>
            <w:r w:rsidRPr="00237FFE">
              <w:t xml:space="preserve">: </w:t>
            </w:r>
            <w:proofErr w:type="spellStart"/>
            <w:r w:rsidRPr="00237FFE">
              <w:t>Emotions</w:t>
            </w:r>
            <w:proofErr w:type="spellEnd"/>
            <w:r w:rsidRPr="00237FFE">
              <w:t xml:space="preserve">, </w:t>
            </w:r>
            <w:proofErr w:type="spellStart"/>
            <w:r w:rsidRPr="00237FFE">
              <w:t>emotional</w:t>
            </w:r>
            <w:proofErr w:type="spellEnd"/>
            <w:r w:rsidRPr="00237FFE">
              <w:t xml:space="preserve"> </w:t>
            </w:r>
            <w:proofErr w:type="spellStart"/>
            <w:r w:rsidRPr="00237FFE">
              <w:t>work</w:t>
            </w:r>
            <w:proofErr w:type="spellEnd"/>
            <w:r w:rsidRPr="00237FFE">
              <w:t xml:space="preserve">, care, </w:t>
            </w:r>
            <w:proofErr w:type="spellStart"/>
            <w:r w:rsidRPr="00237FFE">
              <w:t>nursing</w:t>
            </w:r>
            <w:proofErr w:type="spellEnd"/>
            <w:r w:rsidRPr="00237FFE">
              <w:t xml:space="preserve">, </w:t>
            </w:r>
            <w:proofErr w:type="spellStart"/>
            <w:r w:rsidRPr="00237FFE">
              <w:t>resources</w:t>
            </w:r>
            <w:proofErr w:type="spellEnd"/>
            <w:r w:rsidRPr="00237FFE">
              <w:t>.</w:t>
            </w:r>
          </w:p>
        </w:tc>
      </w:tr>
      <w:tr w:rsidR="002C5BE3" w14:paraId="6C00C369" w14:textId="77777777" w:rsidTr="003276CE">
        <w:tc>
          <w:tcPr>
            <w:tcW w:w="12996" w:type="dxa"/>
          </w:tcPr>
          <w:p w14:paraId="4962BD30" w14:textId="77777777" w:rsidR="002C5BE3" w:rsidRDefault="002C5BE3" w:rsidP="00237FFE">
            <w:pPr>
              <w:jc w:val="both"/>
              <w:rPr>
                <w:b/>
              </w:rPr>
            </w:pPr>
          </w:p>
        </w:tc>
      </w:tr>
      <w:tr w:rsidR="002C5BE3" w14:paraId="0F03118A" w14:textId="77777777" w:rsidTr="003276CE">
        <w:tc>
          <w:tcPr>
            <w:tcW w:w="12996" w:type="dxa"/>
          </w:tcPr>
          <w:p w14:paraId="74557F57" w14:textId="77777777" w:rsidR="002C5BE3" w:rsidRDefault="002C5BE3" w:rsidP="00237FFE">
            <w:pPr>
              <w:jc w:val="both"/>
              <w:rPr>
                <w:b/>
              </w:rPr>
            </w:pPr>
          </w:p>
        </w:tc>
      </w:tr>
      <w:tr w:rsidR="002C5BE3" w14:paraId="28ED4296" w14:textId="77777777" w:rsidTr="003276CE">
        <w:tc>
          <w:tcPr>
            <w:tcW w:w="12996" w:type="dxa"/>
          </w:tcPr>
          <w:p w14:paraId="03C48206" w14:textId="77777777" w:rsidR="002C5BE3" w:rsidRPr="002568D8" w:rsidRDefault="002C5BE3" w:rsidP="002C5BE3">
            <w:pPr>
              <w:jc w:val="center"/>
            </w:pPr>
            <w:r w:rsidRPr="002568D8">
              <w:t>Claudia Maritza Gamboa Franco</w:t>
            </w:r>
          </w:p>
          <w:p w14:paraId="24BCDE13" w14:textId="77777777" w:rsidR="002C5BE3" w:rsidRPr="002568D8" w:rsidRDefault="002C5BE3" w:rsidP="002C5BE3">
            <w:pPr>
              <w:jc w:val="center"/>
            </w:pPr>
            <w:r w:rsidRPr="002568D8">
              <w:t xml:space="preserve"> Universidad San Buenaventura</w:t>
            </w:r>
          </w:p>
          <w:p w14:paraId="7CA033B9" w14:textId="77777777" w:rsidR="002C5BE3" w:rsidRDefault="002C5BE3" w:rsidP="002C5BE3">
            <w:pPr>
              <w:jc w:val="center"/>
              <w:rPr>
                <w:b/>
              </w:rPr>
            </w:pPr>
            <w:r w:rsidRPr="002568D8">
              <w:t>Cultura organizacional y apropiación de conocimiento en una cadena productiva Un estudio de caso</w:t>
            </w:r>
          </w:p>
        </w:tc>
      </w:tr>
      <w:tr w:rsidR="002C5BE3" w14:paraId="033A66FC" w14:textId="77777777" w:rsidTr="003276CE">
        <w:tc>
          <w:tcPr>
            <w:tcW w:w="12996" w:type="dxa"/>
          </w:tcPr>
          <w:p w14:paraId="31202A11" w14:textId="77777777" w:rsidR="00B261A9" w:rsidRDefault="00B261A9" w:rsidP="00B261A9">
            <w:pPr>
              <w:jc w:val="both"/>
              <w:rPr>
                <w:b/>
              </w:rPr>
            </w:pPr>
            <w:r>
              <w:rPr>
                <w:b/>
              </w:rPr>
              <w:t>Resumen.</w:t>
            </w:r>
          </w:p>
          <w:p w14:paraId="39FAA325" w14:textId="77777777" w:rsidR="00B261A9" w:rsidRPr="00B261A9" w:rsidRDefault="00B261A9" w:rsidP="00B261A9">
            <w:pPr>
              <w:jc w:val="both"/>
            </w:pPr>
            <w:r w:rsidRPr="00B261A9">
              <w:t>Introducción. La experiencia reiterada del fracaso en la implementación de modelos racionales de apropiación de conocimientos y tecnologías en determinado sector económico indujo a preguntarse por los factores que facilitan o dificultan esa apropiación. Esta investigación tiene por objetivo analizar factores culturales intervinientes en la apropiación social del conocimiento en la cadena productiva de la yuca en el departamento del Cauca.</w:t>
            </w:r>
          </w:p>
          <w:p w14:paraId="5F519B88" w14:textId="77777777" w:rsidR="00B261A9" w:rsidRPr="00B261A9" w:rsidRDefault="00B261A9" w:rsidP="00B261A9">
            <w:pPr>
              <w:jc w:val="both"/>
            </w:pPr>
            <w:r w:rsidRPr="00B261A9">
              <w:t xml:space="preserve">Método. El diseño del estudio es de carácter transversal, correlacional y mixto. La información cuantitativa será recogida mediante un cuestionario de cultura organizacional. A la cualitativa se accederá a través de observación etnográfica, diarios </w:t>
            </w:r>
            <w:r w:rsidRPr="00B261A9">
              <w:lastRenderedPageBreak/>
              <w:t>de campo, entrevistas semiestructuradas y grupos focales. Un muestreo teórico facilitará el acceso a una muestra de conveniencia de la población integrada por todas las personas participantes en los múltiples eslabones de la cadena productiva. La información cuantitativa será tratada mediante estadística descriptiva y la cualitativa será objeto de análisis de contenido.</w:t>
            </w:r>
          </w:p>
          <w:p w14:paraId="58C8891F" w14:textId="77777777" w:rsidR="00B261A9" w:rsidRPr="00B261A9" w:rsidRDefault="00B261A9" w:rsidP="00B261A9">
            <w:pPr>
              <w:jc w:val="both"/>
            </w:pPr>
            <w:r w:rsidRPr="00B261A9">
              <w:t xml:space="preserve">Resultados esperados. Se aportará evidencia empírica de factores culturales intervinientes en la apropiación de conocimiento en cadenas productivas. </w:t>
            </w:r>
          </w:p>
          <w:p w14:paraId="20414680" w14:textId="77777777" w:rsidR="002C5BE3" w:rsidRDefault="00B261A9" w:rsidP="00B261A9">
            <w:pPr>
              <w:jc w:val="both"/>
              <w:rPr>
                <w:b/>
              </w:rPr>
            </w:pPr>
            <w:r w:rsidRPr="00B261A9">
              <w:t>Conclusiones. Los hallazgos empíricos aportados tendrán implicaciones teóricas y aplicaciones prácticas en modelos de intervención socioculturalmente adecuados y abrirán nuevos frentes para la investigación en este campo.</w:t>
            </w:r>
          </w:p>
        </w:tc>
      </w:tr>
    </w:tbl>
    <w:p w14:paraId="728D73C9" w14:textId="77777777" w:rsidR="00D27763" w:rsidRDefault="00D27763" w:rsidP="00FF6966">
      <w:pPr>
        <w:spacing w:line="240" w:lineRule="auto"/>
        <w:rPr>
          <w:b/>
        </w:rPr>
      </w:pPr>
    </w:p>
    <w:p w14:paraId="379FE69A" w14:textId="77777777" w:rsidR="00FF6966" w:rsidRDefault="00FF6966" w:rsidP="00FF6966">
      <w:pPr>
        <w:spacing w:line="240" w:lineRule="auto"/>
        <w:rPr>
          <w:b/>
        </w:rPr>
      </w:pPr>
      <w:r>
        <w:rPr>
          <w:b/>
        </w:rPr>
        <w:t>2:00p.m – 4:00pm.</w:t>
      </w:r>
    </w:p>
    <w:tbl>
      <w:tblPr>
        <w:tblStyle w:val="Tablaconcuadrcula"/>
        <w:tblW w:w="0" w:type="auto"/>
        <w:tblLook w:val="04A0" w:firstRow="1" w:lastRow="0" w:firstColumn="1" w:lastColumn="0" w:noHBand="0" w:noVBand="1"/>
      </w:tblPr>
      <w:tblGrid>
        <w:gridCol w:w="8828"/>
      </w:tblGrid>
      <w:tr w:rsidR="0015695E" w14:paraId="1BB4CE40" w14:textId="77777777" w:rsidTr="003276CE">
        <w:tc>
          <w:tcPr>
            <w:tcW w:w="12996" w:type="dxa"/>
          </w:tcPr>
          <w:p w14:paraId="0C5E60D0" w14:textId="77777777" w:rsidR="0015695E" w:rsidRDefault="0015695E" w:rsidP="003276CE">
            <w:pPr>
              <w:jc w:val="center"/>
              <w:rPr>
                <w:b/>
              </w:rPr>
            </w:pPr>
            <w:r>
              <w:rPr>
                <w:b/>
              </w:rPr>
              <w:t xml:space="preserve">Simposio </w:t>
            </w:r>
            <w:r w:rsidR="00FF6966">
              <w:rPr>
                <w:b/>
              </w:rPr>
              <w:t>4A</w:t>
            </w:r>
            <w:r>
              <w:rPr>
                <w:b/>
              </w:rPr>
              <w:t>:</w:t>
            </w:r>
            <w:r w:rsidR="00FF6966">
              <w:rPr>
                <w:b/>
              </w:rPr>
              <w:t xml:space="preserve"> Intervenciones en psicología de la salud: Malaria y </w:t>
            </w:r>
            <w:proofErr w:type="spellStart"/>
            <w:r w:rsidR="00FF6966">
              <w:rPr>
                <w:b/>
              </w:rPr>
              <w:t>Covid</w:t>
            </w:r>
            <w:proofErr w:type="spellEnd"/>
            <w:r w:rsidR="00FF6966">
              <w:rPr>
                <w:b/>
              </w:rPr>
              <w:t xml:space="preserve"> dos enfermedades diferentes con afectaciones en el bienestar psicológico</w:t>
            </w:r>
            <w:r>
              <w:rPr>
                <w:b/>
              </w:rPr>
              <w:t xml:space="preserve"> </w:t>
            </w:r>
          </w:p>
        </w:tc>
      </w:tr>
      <w:tr w:rsidR="0015695E" w14:paraId="0F8C2AC6" w14:textId="77777777" w:rsidTr="003276CE">
        <w:tc>
          <w:tcPr>
            <w:tcW w:w="12996" w:type="dxa"/>
          </w:tcPr>
          <w:p w14:paraId="02593A0E" w14:textId="77777777" w:rsidR="007C3706" w:rsidRPr="00523726" w:rsidRDefault="007C3706" w:rsidP="007C3706">
            <w:pPr>
              <w:jc w:val="center"/>
            </w:pPr>
            <w:proofErr w:type="spellStart"/>
            <w:r w:rsidRPr="00523726">
              <w:t>Anny</w:t>
            </w:r>
            <w:proofErr w:type="spellEnd"/>
            <w:r w:rsidRPr="00523726">
              <w:t xml:space="preserve"> Alejandra Rodríguez Pineda </w:t>
            </w:r>
          </w:p>
          <w:p w14:paraId="3414E588" w14:textId="77777777" w:rsidR="007C3706" w:rsidRPr="00523726" w:rsidRDefault="007C3706" w:rsidP="007C3706">
            <w:pPr>
              <w:jc w:val="center"/>
            </w:pPr>
            <w:r w:rsidRPr="00523726">
              <w:t>Universidad Santo Tomás</w:t>
            </w:r>
            <w:r w:rsidRPr="00523726">
              <w:tab/>
            </w:r>
          </w:p>
          <w:p w14:paraId="20B65FF6" w14:textId="77777777" w:rsidR="0015695E" w:rsidRDefault="007C3706" w:rsidP="003276CE">
            <w:pPr>
              <w:jc w:val="center"/>
              <w:rPr>
                <w:b/>
              </w:rPr>
            </w:pPr>
            <w:r w:rsidRPr="00523726">
              <w:t>Psicología y Calidad de Vida: pensando en los indígenas del Amazonas Colombiano</w:t>
            </w:r>
          </w:p>
        </w:tc>
      </w:tr>
      <w:tr w:rsidR="0015695E" w14:paraId="4BC92C03" w14:textId="77777777" w:rsidTr="003276CE">
        <w:tc>
          <w:tcPr>
            <w:tcW w:w="12996" w:type="dxa"/>
          </w:tcPr>
          <w:p w14:paraId="0F51AF92" w14:textId="77777777" w:rsidR="0015695E" w:rsidRPr="006A362D" w:rsidRDefault="0015695E" w:rsidP="00E05EED">
            <w:pPr>
              <w:jc w:val="both"/>
            </w:pPr>
            <w:r w:rsidRPr="006A362D">
              <w:rPr>
                <w:b/>
              </w:rPr>
              <w:t>Resumen.</w:t>
            </w:r>
            <w:r w:rsidRPr="006A362D">
              <w:t xml:space="preserve"> </w:t>
            </w:r>
            <w:r w:rsidR="006A362D" w:rsidRPr="006A362D">
              <w:t xml:space="preserve">Esta investigación pretende caracterizar la calidad de vida [CV] de las etnias Ticuna, Cocama y Yagua del Amazonas colombiano que han padecido malaria. La enfermedad de la malaria, es transmitida por un mosquito hembra del género </w:t>
            </w:r>
            <w:proofErr w:type="spellStart"/>
            <w:r w:rsidR="006A362D" w:rsidRPr="006A362D">
              <w:t>Anopheles</w:t>
            </w:r>
            <w:proofErr w:type="spellEnd"/>
            <w:r w:rsidR="006A362D" w:rsidRPr="006A362D">
              <w:t>, considerada por la (Organización Mundial de la Salud, [OMS] 2018) como un problema de salud pública por los altos índices de morbilidad y mortalidad; los síntomas pueden ser leves o complicados, depende del tipo de virus que haya infectado. La persona infectada queda temporalmente incapacitada, lo que ocasiona crisis familiar, social y laboral, afectando la CV y el bienestar de las personas o comunidades. Este estudio de tipo mixto se realizará con 290 personas de las tres comunidades que han convivido con la malaria. En el estudio cualitativo, con diseño de teoría fundamentada, se buscará comprender el significado de la CV en las tres etnias y; en el estudio cuantitativo, de tipo descriptivo, instrumental y transversal, se adaptarán los instrumentos para medir CV (WHOQOL-BREF) y bienestar (el instrumento específico para medir bienestar en indígenas), en los indígenas del Amazonas colombiano. Así mismo, se espera aportar en la comprensión, atención de la salud psicológica y la política pública para esta población. Para esta presentación se hará énfasis en la propuesta metodológica de desarrollo del proyecto.</w:t>
            </w:r>
          </w:p>
        </w:tc>
      </w:tr>
      <w:tr w:rsidR="00A548A5" w14:paraId="40EDD8F4" w14:textId="77777777" w:rsidTr="003276CE">
        <w:tc>
          <w:tcPr>
            <w:tcW w:w="12996" w:type="dxa"/>
          </w:tcPr>
          <w:p w14:paraId="7FAA3CDD" w14:textId="77777777" w:rsidR="00A548A5" w:rsidRPr="006A362D" w:rsidRDefault="00A548A5" w:rsidP="00E05EED">
            <w:pPr>
              <w:jc w:val="both"/>
              <w:rPr>
                <w:b/>
              </w:rPr>
            </w:pPr>
          </w:p>
        </w:tc>
      </w:tr>
      <w:tr w:rsidR="00A548A5" w14:paraId="16507D9C" w14:textId="77777777" w:rsidTr="003276CE">
        <w:tc>
          <w:tcPr>
            <w:tcW w:w="12996" w:type="dxa"/>
          </w:tcPr>
          <w:p w14:paraId="7FA8ED6A" w14:textId="77777777" w:rsidR="00A548A5" w:rsidRPr="00567781" w:rsidRDefault="00567781" w:rsidP="00567781">
            <w:pPr>
              <w:jc w:val="center"/>
            </w:pPr>
            <w:r w:rsidRPr="00567781">
              <w:t xml:space="preserve">Ivonne Maritza Rodríguez </w:t>
            </w:r>
            <w:proofErr w:type="spellStart"/>
            <w:r w:rsidRPr="00567781">
              <w:t>Rodríguez</w:t>
            </w:r>
            <w:proofErr w:type="spellEnd"/>
          </w:p>
          <w:p w14:paraId="0EA9077A" w14:textId="77777777" w:rsidR="00567781" w:rsidRPr="00567781" w:rsidRDefault="00567781" w:rsidP="00567781">
            <w:pPr>
              <w:jc w:val="center"/>
            </w:pPr>
            <w:r w:rsidRPr="00567781">
              <w:t>Universidad de Los Andes</w:t>
            </w:r>
          </w:p>
          <w:p w14:paraId="0590927D" w14:textId="77777777" w:rsidR="00567781" w:rsidRPr="006A362D" w:rsidRDefault="00567781" w:rsidP="00567781">
            <w:pPr>
              <w:jc w:val="center"/>
              <w:rPr>
                <w:b/>
              </w:rPr>
            </w:pPr>
            <w:r w:rsidRPr="00567781">
              <w:t>Percepción de la enfermedad, de los hábitos saludables, del servicio médico y de la adherencia al tratamiento en pacientes con hipertensión y diabetes durante la pandemia por Covid-19</w:t>
            </w:r>
            <w:r w:rsidRPr="00567781">
              <w:rPr>
                <w:b/>
              </w:rPr>
              <w:t xml:space="preserve">  </w:t>
            </w:r>
          </w:p>
        </w:tc>
      </w:tr>
      <w:tr w:rsidR="00A548A5" w14:paraId="07F41D38" w14:textId="77777777" w:rsidTr="003276CE">
        <w:tc>
          <w:tcPr>
            <w:tcW w:w="12996" w:type="dxa"/>
          </w:tcPr>
          <w:p w14:paraId="28EF85FE" w14:textId="77777777" w:rsidR="00567781" w:rsidRPr="00B65B6B" w:rsidRDefault="00567781" w:rsidP="00B65B6B">
            <w:pPr>
              <w:jc w:val="both"/>
            </w:pPr>
            <w:r w:rsidRPr="00B65B6B">
              <w:rPr>
                <w:b/>
              </w:rPr>
              <w:t>Resumen.</w:t>
            </w:r>
            <w:r w:rsidR="00B65B6B" w:rsidRPr="00B65B6B">
              <w:t xml:space="preserve"> La pandemia por el Covid-19 trajo varios efectos sobre la salud y uno de ellos fue la interrupción de los servicios de salud para las personas que tienen enfermedades crónicas. De acuerdo con la OPS (2020) los servicios fueron reorganizados y en algunos </w:t>
            </w:r>
            <w:r w:rsidR="00B65B6B" w:rsidRPr="00B65B6B">
              <w:lastRenderedPageBreak/>
              <w:t>casos dejaron de brindarse los tratamientos necesarios para personas con hipertensión y diabetes, lo que generó un mayor riesgo para estos pacientes. Esta modificación en los servicios se presentó también en la Unidad de Sanidad Militar en la que se viene desarrollando la tesis de doctorado. Los pacientes tuvieron que aceptar y adaptarse a los cambios en la forma de llevar sus controles médicos. La presente propuesta se centra en exponer la forma cómo los pacientes crónicos perciben la enfermedad, sus hábitos saludables, el servicio médico que reciben y la adherencia terapéutica ahora que está de por medio la pandemia. Se utilizó un análisis cualitativo a partir de la información obtenida de entrevistas y se utilizó el procedimiento de codificación planteada por la teoría fundamentada. A partir del análisis de resultados parciales, se determinaron cinco categorías de análisis.</w:t>
            </w:r>
          </w:p>
        </w:tc>
      </w:tr>
    </w:tbl>
    <w:p w14:paraId="3B11ACCF" w14:textId="77777777" w:rsidR="00D27763" w:rsidRDefault="00D27763" w:rsidP="003440DC">
      <w:pPr>
        <w:spacing w:line="240" w:lineRule="auto"/>
        <w:jc w:val="center"/>
        <w:rPr>
          <w:b/>
        </w:rPr>
      </w:pPr>
    </w:p>
    <w:p w14:paraId="301F5545" w14:textId="77777777" w:rsidR="00D27763" w:rsidRDefault="00D27763"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CA77E1" w14:paraId="37F19025" w14:textId="77777777" w:rsidTr="003276CE">
        <w:tc>
          <w:tcPr>
            <w:tcW w:w="12996" w:type="dxa"/>
          </w:tcPr>
          <w:p w14:paraId="3D170A43" w14:textId="77777777" w:rsidR="00CA77E1" w:rsidRDefault="00CA77E1" w:rsidP="00CA77E1">
            <w:pPr>
              <w:jc w:val="center"/>
              <w:rPr>
                <w:b/>
              </w:rPr>
            </w:pPr>
            <w:r>
              <w:rPr>
                <w:b/>
              </w:rPr>
              <w:t xml:space="preserve">Simposio 4B: </w:t>
            </w:r>
            <w:r w:rsidR="00F15A24">
              <w:rPr>
                <w:b/>
              </w:rPr>
              <w:t>Neuropsicología, comprensión y rehabilitación</w:t>
            </w:r>
          </w:p>
        </w:tc>
      </w:tr>
      <w:tr w:rsidR="00CA77E1" w14:paraId="17CF4055" w14:textId="77777777" w:rsidTr="003276CE">
        <w:tc>
          <w:tcPr>
            <w:tcW w:w="12996" w:type="dxa"/>
          </w:tcPr>
          <w:p w14:paraId="4933B32F" w14:textId="77777777" w:rsidR="001B4A34" w:rsidRPr="001B4A34" w:rsidRDefault="001B4A34" w:rsidP="001B4A34">
            <w:pPr>
              <w:jc w:val="center"/>
            </w:pPr>
            <w:r w:rsidRPr="001B4A34">
              <w:t xml:space="preserve">María Claudia Martínez Arboleda </w:t>
            </w:r>
          </w:p>
          <w:p w14:paraId="5F6DE073" w14:textId="77777777" w:rsidR="001B4A34" w:rsidRPr="001B4A34" w:rsidRDefault="001B4A34" w:rsidP="001B4A34">
            <w:pPr>
              <w:jc w:val="center"/>
            </w:pPr>
            <w:r w:rsidRPr="001B4A34">
              <w:t>Universidad de San Buenaventura, Cali</w:t>
            </w:r>
            <w:r w:rsidRPr="001B4A34">
              <w:tab/>
            </w:r>
          </w:p>
          <w:p w14:paraId="15487578" w14:textId="77777777" w:rsidR="00CA77E1" w:rsidRDefault="001B4A34" w:rsidP="003276CE">
            <w:pPr>
              <w:jc w:val="center"/>
              <w:rPr>
                <w:b/>
              </w:rPr>
            </w:pPr>
            <w:r w:rsidRPr="001B4A34">
              <w:t>Neurodiversidad en tensión: Aspectos biológicos, psíquicos y sociales en la comprensión del Espectro Autista</w:t>
            </w:r>
          </w:p>
        </w:tc>
      </w:tr>
      <w:tr w:rsidR="00CA77E1" w14:paraId="2F1C5748" w14:textId="77777777" w:rsidTr="003276CE">
        <w:tc>
          <w:tcPr>
            <w:tcW w:w="12996" w:type="dxa"/>
          </w:tcPr>
          <w:p w14:paraId="04E3B827" w14:textId="77777777" w:rsidR="00CA77E1" w:rsidRPr="006A362D" w:rsidRDefault="00CA77E1" w:rsidP="00CA77E1">
            <w:pPr>
              <w:jc w:val="both"/>
            </w:pPr>
            <w:r w:rsidRPr="006A362D">
              <w:rPr>
                <w:b/>
              </w:rPr>
              <w:t>Resumen.</w:t>
            </w:r>
            <w:r w:rsidRPr="006A362D">
              <w:t xml:space="preserve"> </w:t>
            </w:r>
            <w:r w:rsidR="00EB3016" w:rsidRPr="00EB3016">
              <w:t xml:space="preserve">El trastorno del espectro Autista (TEA) y estudios epidemiológicos a nivel latinoamericano, señalan heterogeneidad y alta complejidad en su manifestación clínica; lo cual justifica la pertinencia de su estudio desde un paradigma </w:t>
            </w:r>
            <w:proofErr w:type="spellStart"/>
            <w:r w:rsidR="00EB3016" w:rsidRPr="00EB3016">
              <w:t>autopoiético</w:t>
            </w:r>
            <w:proofErr w:type="spellEnd"/>
            <w:r w:rsidR="00EB3016" w:rsidRPr="00EB3016">
              <w:t xml:space="preserve"> que involucre la comprensión del funcionamiento de su sistema biológico, psíquico y social desde una perspectiva sistémica y de la neurodiversidad, visibilizando al niño con TEA como un cúmulo de diferencias constituidas por diversos sistemas aportantes a la relación sistema/ entorno, para la configuración de procesos y de calidad de vida en cuidadores. Objetivo: Describir y analizar el perfil de funcionamiento cognitivo, neurofisiológico y social de niños </w:t>
            </w:r>
            <w:proofErr w:type="spellStart"/>
            <w:r w:rsidR="00EB3016" w:rsidRPr="00EB3016">
              <w:t>neurodiversos</w:t>
            </w:r>
            <w:proofErr w:type="spellEnd"/>
            <w:r w:rsidR="00EB3016" w:rsidRPr="00EB3016">
              <w:t xml:space="preserve"> colombianos. Método: Diseño cuantitativo, no experimental de corte transversal; con alcance descriptivo y correlacional. Población: 39 niños </w:t>
            </w:r>
            <w:proofErr w:type="spellStart"/>
            <w:r w:rsidR="00EB3016" w:rsidRPr="00EB3016">
              <w:t>neurodiversos</w:t>
            </w:r>
            <w:proofErr w:type="spellEnd"/>
            <w:r w:rsidR="00EB3016" w:rsidRPr="00EB3016">
              <w:t xml:space="preserve">, 29 cuidadores. Procedimiento: El estudio contempla una fase descriptiva y una fase comprensiva, mediante el uso de instrumentos de evaluación, análisis e interpretación de variables neurofisiológicas, cognitivas y sociales, estas últimas mediante la implementación de escalas para la medición de calidad de vida y salud mental en cuidadores. Resultados esperados: Caracterización del funcionamiento cognitivo y neurofisiológico de niños </w:t>
            </w:r>
            <w:proofErr w:type="spellStart"/>
            <w:r w:rsidR="00EB3016" w:rsidRPr="00EB3016">
              <w:t>neurodiversos</w:t>
            </w:r>
            <w:proofErr w:type="spellEnd"/>
            <w:r w:rsidR="00EB3016" w:rsidRPr="00EB3016">
              <w:t xml:space="preserve"> colombianos. Correlación del perfil de funcionamiento biológico, psíquico y social de los niños con TEA y su contexto primario.</w:t>
            </w:r>
          </w:p>
        </w:tc>
      </w:tr>
      <w:tr w:rsidR="001B4A34" w14:paraId="46685A77" w14:textId="77777777" w:rsidTr="003276CE">
        <w:tc>
          <w:tcPr>
            <w:tcW w:w="12996" w:type="dxa"/>
          </w:tcPr>
          <w:p w14:paraId="6D4D37F3" w14:textId="77777777" w:rsidR="001B4A34" w:rsidRPr="006A362D" w:rsidRDefault="001B4A34" w:rsidP="00CA77E1">
            <w:pPr>
              <w:jc w:val="both"/>
              <w:rPr>
                <w:b/>
              </w:rPr>
            </w:pPr>
          </w:p>
        </w:tc>
      </w:tr>
      <w:tr w:rsidR="001B4A34" w:rsidRPr="00CC235D" w14:paraId="42E7F9F3" w14:textId="77777777" w:rsidTr="003276CE">
        <w:tc>
          <w:tcPr>
            <w:tcW w:w="12996" w:type="dxa"/>
          </w:tcPr>
          <w:p w14:paraId="2C63645E" w14:textId="77777777" w:rsidR="008F23DF" w:rsidRPr="00CC235D" w:rsidRDefault="008F23DF" w:rsidP="008F23DF">
            <w:pPr>
              <w:jc w:val="center"/>
            </w:pPr>
            <w:proofErr w:type="spellStart"/>
            <w:r w:rsidRPr="00CC235D">
              <w:t>Yaira</w:t>
            </w:r>
            <w:proofErr w:type="spellEnd"/>
            <w:r w:rsidRPr="00CC235D">
              <w:t xml:space="preserve"> </w:t>
            </w:r>
            <w:proofErr w:type="spellStart"/>
            <w:r w:rsidRPr="00CC235D">
              <w:t>Zuleine</w:t>
            </w:r>
            <w:proofErr w:type="spellEnd"/>
            <w:r w:rsidRPr="00CC235D">
              <w:t xml:space="preserve"> Arias Ramírez</w:t>
            </w:r>
          </w:p>
          <w:p w14:paraId="7C0E3B84" w14:textId="77777777" w:rsidR="008F23DF" w:rsidRPr="00CC235D" w:rsidRDefault="008F23DF" w:rsidP="008F23DF">
            <w:pPr>
              <w:jc w:val="center"/>
            </w:pPr>
            <w:r w:rsidRPr="00CC235D">
              <w:t>Universidad de San Buenaventura - Medellín</w:t>
            </w:r>
          </w:p>
          <w:p w14:paraId="490E4132" w14:textId="77777777" w:rsidR="001B4A34" w:rsidRPr="00CC235D" w:rsidRDefault="008F23DF" w:rsidP="008F23DF">
            <w:pPr>
              <w:jc w:val="center"/>
            </w:pPr>
            <w:r w:rsidRPr="00CC235D">
              <w:t>Viabilidad de un software de  rehabilitación neuropsicológica en pacientes con lobectomía temporal del instituto neurológico de Colombia</w:t>
            </w:r>
          </w:p>
        </w:tc>
      </w:tr>
      <w:tr w:rsidR="001B4A34" w14:paraId="5CBBF471" w14:textId="77777777" w:rsidTr="003276CE">
        <w:tc>
          <w:tcPr>
            <w:tcW w:w="12996" w:type="dxa"/>
          </w:tcPr>
          <w:p w14:paraId="586CB080" w14:textId="77777777" w:rsidR="001B4A34" w:rsidRPr="006A362D" w:rsidRDefault="00105A12" w:rsidP="00CA77E1">
            <w:pPr>
              <w:jc w:val="both"/>
              <w:rPr>
                <w:b/>
              </w:rPr>
            </w:pPr>
            <w:r>
              <w:rPr>
                <w:b/>
              </w:rPr>
              <w:t>Resumen.</w:t>
            </w:r>
            <w:r w:rsidR="000C19B3">
              <w:rPr>
                <w:b/>
              </w:rPr>
              <w:t xml:space="preserve">  </w:t>
            </w:r>
            <w:r w:rsidR="000C19B3" w:rsidRPr="000C19B3">
              <w:t xml:space="preserve">La Epilepsia es una afección crónica con etiología diversa y caracterizada por crisis frecuentes debidas a una descarga excesiva a nivel cerebral, relacionada con </w:t>
            </w:r>
            <w:r w:rsidR="000C19B3" w:rsidRPr="000C19B3">
              <w:lastRenderedPageBreak/>
              <w:t>variadas consecuencias de tipo clínico y paraclínico. En cuanto a las posibilidades quirúrgicas el tipo de epilepsia más comúnmente tratado es la Epilepsia del Lóbulo Temporal medial; lo anterior debido a la alta resistencia a los tratamientos farmacológicos. La rehabilitación neuropsicológica mediada por las TIC en estos pacientes ha empezado a explorarse, pero hay muy pocas investigaciones al respecto. Algunos de los estudios se centran en la casuística particular; otros indican que no se encuentran investigaciones con suficiente solidez científica y evidencian el gran potencial para efectos positivos en este tipo de pacientes con la implementación de nuevas tecnologías. El objetivo general del estudio es evaluar la viabilidad de un software de Rehabilitación Neuropsicológica en pacientes con lobectomía temporal. Los objetivos específicos son determinar la pertinencia y el nivel de aceptabilidad de la intervención con el software; estimar la factibilidad y el costo; y valorar los efectos sobre la funcionalidad y la calidad de vida. La metodología consiste en un estudio experimental de ensayo clínico aleatorio con grupo control. Es un estudio transversal y analítico.</w:t>
            </w:r>
          </w:p>
        </w:tc>
      </w:tr>
      <w:tr w:rsidR="00C056E7" w14:paraId="015E41DF" w14:textId="77777777" w:rsidTr="003276CE">
        <w:tc>
          <w:tcPr>
            <w:tcW w:w="12996" w:type="dxa"/>
          </w:tcPr>
          <w:p w14:paraId="319D7A01" w14:textId="77777777" w:rsidR="00C056E7" w:rsidRDefault="00C056E7" w:rsidP="00CA77E1">
            <w:pPr>
              <w:jc w:val="both"/>
              <w:rPr>
                <w:b/>
              </w:rPr>
            </w:pPr>
          </w:p>
        </w:tc>
      </w:tr>
      <w:tr w:rsidR="00C056E7" w14:paraId="4EAA2CE5" w14:textId="77777777" w:rsidTr="003276CE">
        <w:tc>
          <w:tcPr>
            <w:tcW w:w="12996" w:type="dxa"/>
          </w:tcPr>
          <w:p w14:paraId="1811C2C2" w14:textId="77777777" w:rsidR="00C056E7" w:rsidRPr="00206AEE" w:rsidRDefault="00C056E7" w:rsidP="00C056E7">
            <w:pPr>
              <w:jc w:val="center"/>
            </w:pPr>
            <w:r w:rsidRPr="00206AEE">
              <w:t xml:space="preserve">Daniel </w:t>
            </w:r>
            <w:proofErr w:type="spellStart"/>
            <w:r w:rsidRPr="00206AEE">
              <w:t>Landínez</w:t>
            </w:r>
            <w:proofErr w:type="spellEnd"/>
            <w:r w:rsidRPr="00206AEE">
              <w:t xml:space="preserve"> Martínez </w:t>
            </w:r>
          </w:p>
          <w:p w14:paraId="7C694F89" w14:textId="77777777" w:rsidR="00C056E7" w:rsidRPr="00206AEE" w:rsidRDefault="00C056E7" w:rsidP="00C056E7">
            <w:pPr>
              <w:jc w:val="center"/>
            </w:pPr>
            <w:r w:rsidRPr="00206AEE">
              <w:t>Universidad de San Buenaventura - Medellín</w:t>
            </w:r>
          </w:p>
          <w:p w14:paraId="6F1D35E9" w14:textId="77777777" w:rsidR="00C056E7" w:rsidRDefault="00566AFC" w:rsidP="00566AFC">
            <w:pPr>
              <w:jc w:val="center"/>
              <w:rPr>
                <w:b/>
              </w:rPr>
            </w:pPr>
            <w:r>
              <w:t>Efecto de un entrenamiento computarizado sobre las actividades instrumentales de la vida diaria después de enfermedad vascular cerebral</w:t>
            </w:r>
          </w:p>
        </w:tc>
      </w:tr>
      <w:tr w:rsidR="00C056E7" w14:paraId="3E0F6B91" w14:textId="77777777" w:rsidTr="003276CE">
        <w:tc>
          <w:tcPr>
            <w:tcW w:w="12996" w:type="dxa"/>
          </w:tcPr>
          <w:p w14:paraId="718933C4" w14:textId="77777777" w:rsidR="00C056E7" w:rsidRDefault="00C056E7" w:rsidP="00CA77E1">
            <w:pPr>
              <w:jc w:val="both"/>
              <w:rPr>
                <w:b/>
              </w:rPr>
            </w:pPr>
            <w:r>
              <w:rPr>
                <w:b/>
              </w:rPr>
              <w:t xml:space="preserve">Resumen. </w:t>
            </w:r>
          </w:p>
          <w:p w14:paraId="3793D998" w14:textId="77777777" w:rsidR="00C056E7" w:rsidRPr="00E864AE" w:rsidRDefault="00E864AE" w:rsidP="00CA77E1">
            <w:pPr>
              <w:jc w:val="both"/>
            </w:pPr>
            <w:r w:rsidRPr="00E864AE">
              <w:t xml:space="preserve">Introducción: La Enfermedad Vascular Cerebral Isquémica tiene un gran impacto en el desempeño cognitivo y en la independencia funcional, particularmente en la memoria de trabajo y las actividades instrumentales de la vida diaria. Por tal razón, se han desarrollado intervenciones que buscan mejorar el desempeño en las actividades de la vida diaria. El efecto de los programas de entrenamiento cognitivo computarizado en la memoria de trabajo aún no es claro y menos si hay transferencia de las ganancias a las actividades instrumentales de la vida diaria. Objetivo: El objetivo de este estudio es determinar el efecto de un entrenamiento cognitivo computarizado adaptado sobre las actividades instrumentales de la vida diaria y sobre el desempeño en la memoria de trabajo en comparación con una intervención estándar en pacientes con Enfermedad Vascular Cerebral Isquémica. Metodología: Este es un estudio cuantitativo. El diseño fue experimental de tipo ensayo clínico controlado aleatorizado. Este ensayo clínico contó con un Grupo Experimental (n= 16) y un Grupo Control Activo (n= 16). Los dos grupos fueron evaluados por medio de una escala sociodemográfica, la evaluación cognitiva de Montreal y la escala de depresión geriátrica de </w:t>
            </w:r>
            <w:proofErr w:type="spellStart"/>
            <w:r w:rsidRPr="00E864AE">
              <w:t>Yesavage</w:t>
            </w:r>
            <w:proofErr w:type="spellEnd"/>
            <w:r w:rsidRPr="00E864AE">
              <w:t xml:space="preserve">. Los desenlaces primarios fueron la escala de actividades instrumentales de la vida diaria Lawton-Brody y el cuestionario de memoria de trabajo. Los desenlaces secundarios fueron el índice de memoria de trabajo y los cubos de Corsi. Resultados: Los resultados sugieren diferencias significativas entre los dos grupos en el desempeño en tareas de memoria de trabajo mostrando tamaños del efecto mayor en el Grupo Experimental en comparación con el Grupo Control Activo. Sin embargo, no se encontraron diferencias en el desempeño de las actividades instrumentales de la vida diaria. Discusión: Dado lo anterior, es necesario revisar las características propias de la intervención como el esquema de entrenamiento, las diferencias individuales que impactan las medidas de desenlace de las actividades </w:t>
            </w:r>
            <w:r w:rsidRPr="00E864AE">
              <w:lastRenderedPageBreak/>
              <w:t xml:space="preserve">instrumentales de la vida diaria como por ejemplo las habilidades en línea de base, predisposiciones genéticas, motivación y personalidad. Probablemente, la pregunta más apropiada en estudios a futuro es ¿Bajo </w:t>
            </w:r>
            <w:r w:rsidR="00891A87" w:rsidRPr="00E864AE">
              <w:t>qué</w:t>
            </w:r>
            <w:r w:rsidRPr="00E864AE">
              <w:t xml:space="preserve"> circunstancias, y para qué tipo de pacientes, se pueden mejorar las actividades instrumentales de la vida diaria por medio de un programa de entrenamiento cognitivo computarizado?</w:t>
            </w:r>
          </w:p>
        </w:tc>
      </w:tr>
    </w:tbl>
    <w:p w14:paraId="709E8139" w14:textId="77777777" w:rsidR="00D27763" w:rsidRDefault="00D27763" w:rsidP="003440DC">
      <w:pPr>
        <w:spacing w:line="240" w:lineRule="auto"/>
        <w:jc w:val="center"/>
        <w:rPr>
          <w:b/>
        </w:rPr>
      </w:pPr>
    </w:p>
    <w:p w14:paraId="0BD068F6" w14:textId="77777777" w:rsidR="007C13B7" w:rsidRDefault="007C13B7" w:rsidP="003440DC">
      <w:pPr>
        <w:spacing w:line="240" w:lineRule="auto"/>
        <w:jc w:val="center"/>
        <w:rPr>
          <w:b/>
        </w:rPr>
      </w:pPr>
    </w:p>
    <w:p w14:paraId="55576594" w14:textId="77777777" w:rsidR="007C13B7" w:rsidRDefault="007C13B7" w:rsidP="003440DC">
      <w:pPr>
        <w:spacing w:line="240" w:lineRule="auto"/>
        <w:jc w:val="center"/>
        <w:rPr>
          <w:b/>
        </w:rPr>
      </w:pPr>
    </w:p>
    <w:p w14:paraId="14E0D228" w14:textId="77777777" w:rsidR="00D27763" w:rsidRDefault="00D27763"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D41657" w14:paraId="48FFFA4A" w14:textId="77777777" w:rsidTr="003276CE">
        <w:tc>
          <w:tcPr>
            <w:tcW w:w="12996" w:type="dxa"/>
          </w:tcPr>
          <w:p w14:paraId="0FEB17E2" w14:textId="77777777" w:rsidR="00D41657" w:rsidRDefault="00D41657" w:rsidP="00D41657">
            <w:pPr>
              <w:jc w:val="center"/>
              <w:rPr>
                <w:b/>
              </w:rPr>
            </w:pPr>
            <w:r>
              <w:rPr>
                <w:b/>
              </w:rPr>
              <w:t>Simposio 4C:  Factores psicosociales</w:t>
            </w:r>
          </w:p>
        </w:tc>
      </w:tr>
      <w:tr w:rsidR="00D41657" w14:paraId="2AEDF40E" w14:textId="77777777" w:rsidTr="003276CE">
        <w:tc>
          <w:tcPr>
            <w:tcW w:w="12996" w:type="dxa"/>
          </w:tcPr>
          <w:p w14:paraId="1F31C3C6" w14:textId="77777777" w:rsidR="007C13B7" w:rsidRPr="0005425E" w:rsidRDefault="007C13B7" w:rsidP="007C13B7">
            <w:pPr>
              <w:jc w:val="center"/>
            </w:pPr>
            <w:r w:rsidRPr="0005425E">
              <w:t xml:space="preserve">Daisy Silva Caraballo </w:t>
            </w:r>
          </w:p>
          <w:p w14:paraId="53304311" w14:textId="77777777" w:rsidR="00D41657" w:rsidRPr="0005425E" w:rsidRDefault="007C13B7" w:rsidP="007C13B7">
            <w:pPr>
              <w:jc w:val="center"/>
            </w:pPr>
            <w:r w:rsidRPr="0005425E">
              <w:t>Universidad de San Buenaventura - Cali</w:t>
            </w:r>
            <w:r w:rsidRPr="0005425E">
              <w:tab/>
            </w:r>
          </w:p>
          <w:p w14:paraId="7D89CF98" w14:textId="77777777" w:rsidR="007C13B7" w:rsidRDefault="007C13B7" w:rsidP="007C13B7">
            <w:pPr>
              <w:jc w:val="center"/>
              <w:rPr>
                <w:b/>
              </w:rPr>
            </w:pPr>
            <w:r w:rsidRPr="0005425E">
              <w:t>Perfeccionismo laboral y profesional y salud ocupacional</w:t>
            </w:r>
          </w:p>
        </w:tc>
      </w:tr>
      <w:tr w:rsidR="00D41657" w14:paraId="158CF57B" w14:textId="77777777" w:rsidTr="003276CE">
        <w:tc>
          <w:tcPr>
            <w:tcW w:w="12996" w:type="dxa"/>
          </w:tcPr>
          <w:p w14:paraId="05B87E0D" w14:textId="77777777" w:rsidR="00383C0F" w:rsidRDefault="00D41657" w:rsidP="00383C0F">
            <w:pPr>
              <w:jc w:val="both"/>
            </w:pPr>
            <w:r w:rsidRPr="006A362D">
              <w:rPr>
                <w:b/>
              </w:rPr>
              <w:t>Resumen.</w:t>
            </w:r>
            <w:r w:rsidRPr="006A362D">
              <w:t xml:space="preserve"> </w:t>
            </w:r>
          </w:p>
          <w:p w14:paraId="11C87EB5" w14:textId="77777777" w:rsidR="00383C0F" w:rsidRDefault="00383C0F" w:rsidP="00383C0F">
            <w:pPr>
              <w:jc w:val="both"/>
            </w:pPr>
            <w:r>
              <w:t>Introducción. Para el sentido común, el perfeccionismo es una característica moral de personas sanas y eficaces en su vida y en su trabajo. En esta línea, la gestión del talento humano tiende a tratar el perfeccionismo laboral y profesional (PLP) como una virtud a fortalecer; porque de ella se esperan consecuencias positivas. Sin embargo, la literatura científica induce a sospechar que la relación del perfeccionismo con la salud en el trabajo no es simple ni lineal. El objetivo general de esta investigación es analizar la relación del PLP con la salud ocupacional</w:t>
            </w:r>
          </w:p>
          <w:p w14:paraId="53B1B241" w14:textId="77777777" w:rsidR="00383C0F" w:rsidRDefault="00383C0F" w:rsidP="00383C0F">
            <w:pPr>
              <w:jc w:val="both"/>
            </w:pPr>
            <w:r>
              <w:t xml:space="preserve">Método. El proyecto tiene un diseño mixto, con alcance descriptivo, correlacional, parcialmente explicativo y transversal. De la población integrada por el personal docente de las universidades colombianas se extraerá una muestra de conveniencia, a la que se aplicarán técnicas de encuesta, entrevista y grupo focal, para obtener una información que será tratada mediante análisis de contenido. </w:t>
            </w:r>
          </w:p>
          <w:p w14:paraId="631052E9" w14:textId="77777777" w:rsidR="00383C0F" w:rsidRDefault="00383C0F" w:rsidP="00383C0F">
            <w:pPr>
              <w:jc w:val="both"/>
            </w:pPr>
            <w:r>
              <w:t>Resultados. Se espera aportar evidencia empírica de las características del PLP en el profesorado colombiano y de que, dependiendo de su dosis (óptima o excesiva) y de su interacción con la carga de trabajo, el PLP funciona como factor de protección o de riesgo psicosocial en el trabajo.</w:t>
            </w:r>
          </w:p>
          <w:p w14:paraId="044992AF" w14:textId="77777777" w:rsidR="00D41657" w:rsidRPr="006A362D" w:rsidRDefault="00383C0F" w:rsidP="00383C0F">
            <w:pPr>
              <w:jc w:val="both"/>
            </w:pPr>
            <w:r>
              <w:t>Palabras Clave: perfeccionismo, perfeccionismo laboral y profesional, factor de riesgo, factor protector, carga de trabajo, salud ocupacional.</w:t>
            </w:r>
          </w:p>
        </w:tc>
      </w:tr>
      <w:tr w:rsidR="00637699" w14:paraId="5BD36F60" w14:textId="77777777" w:rsidTr="003276CE">
        <w:tc>
          <w:tcPr>
            <w:tcW w:w="12996" w:type="dxa"/>
          </w:tcPr>
          <w:p w14:paraId="5BB2221C" w14:textId="77777777" w:rsidR="00637699" w:rsidRPr="006A362D" w:rsidRDefault="00637699" w:rsidP="00383C0F">
            <w:pPr>
              <w:jc w:val="both"/>
              <w:rPr>
                <w:b/>
              </w:rPr>
            </w:pPr>
          </w:p>
        </w:tc>
      </w:tr>
      <w:tr w:rsidR="00637699" w14:paraId="6C5EF545" w14:textId="77777777" w:rsidTr="003276CE">
        <w:tc>
          <w:tcPr>
            <w:tcW w:w="12996" w:type="dxa"/>
          </w:tcPr>
          <w:p w14:paraId="5964A298" w14:textId="77777777" w:rsidR="00637699" w:rsidRPr="0042377A" w:rsidRDefault="00637699" w:rsidP="00637699">
            <w:pPr>
              <w:jc w:val="center"/>
            </w:pPr>
            <w:r w:rsidRPr="0042377A">
              <w:t>Carlos Andrés Trejos Gil</w:t>
            </w:r>
          </w:p>
          <w:p w14:paraId="04BE9091" w14:textId="77777777" w:rsidR="00637699" w:rsidRPr="0042377A" w:rsidRDefault="00637699" w:rsidP="00637699">
            <w:pPr>
              <w:jc w:val="center"/>
            </w:pPr>
            <w:r w:rsidRPr="0042377A">
              <w:t>Universidad Católica Luis Amigó</w:t>
            </w:r>
          </w:p>
          <w:p w14:paraId="1DBCBB02" w14:textId="77777777" w:rsidR="00637699" w:rsidRPr="006A362D" w:rsidRDefault="0042377A" w:rsidP="00637699">
            <w:pPr>
              <w:jc w:val="center"/>
              <w:rPr>
                <w:b/>
              </w:rPr>
            </w:pPr>
            <w:r w:rsidRPr="0042377A">
              <w:t>Plan de prevención y acción temprana en Languidez en pro de mejora en el bienestar laboral en las organizaciones</w:t>
            </w:r>
          </w:p>
        </w:tc>
      </w:tr>
      <w:tr w:rsidR="00637699" w14:paraId="630B41EB" w14:textId="77777777" w:rsidTr="000471B9">
        <w:trPr>
          <w:trHeight w:val="1266"/>
        </w:trPr>
        <w:tc>
          <w:tcPr>
            <w:tcW w:w="12996" w:type="dxa"/>
          </w:tcPr>
          <w:p w14:paraId="11F44517" w14:textId="77777777" w:rsidR="00637699" w:rsidRPr="000471B9" w:rsidRDefault="0042377A" w:rsidP="00383C0F">
            <w:pPr>
              <w:jc w:val="both"/>
            </w:pPr>
            <w:r w:rsidRPr="000471B9">
              <w:rPr>
                <w:b/>
              </w:rPr>
              <w:t>Resumen.</w:t>
            </w:r>
            <w:r w:rsidRPr="000471B9">
              <w:t xml:space="preserve"> </w:t>
            </w:r>
            <w:r w:rsidR="000471B9" w:rsidRPr="000471B9">
              <w:t xml:space="preserve">En el marco corporativo y las organizaciones, la administración de los recursos humanos como elemento fundamental y en función de la ventaja competitiva de las compañías es la práctica administrativa que busca aportar al desarrollo de la calidad humana las empresas cada vez enfocan todos sus esfuerzos en no solo mantenerlos sino también preocuparse por su bienestar laboral, físico y trastornos mentales como es el </w:t>
            </w:r>
            <w:r w:rsidR="000471B9" w:rsidRPr="000471B9">
              <w:lastRenderedPageBreak/>
              <w:t xml:space="preserve">caso de la Languidez en los colaboradores. Este trabajo propone plantear un plan de prevención y acción temprana en Languidez en pro de mejora en el bienestar laboral en las organizaciones. Bajo un diseño metodológico experimental se analizó 3 grandes empresas de Colombia en diferentes sectores económicos, </w:t>
            </w:r>
            <w:proofErr w:type="spellStart"/>
            <w:r w:rsidR="000471B9" w:rsidRPr="000471B9">
              <w:t>Sofasa</w:t>
            </w:r>
            <w:proofErr w:type="spellEnd"/>
            <w:r w:rsidR="000471B9" w:rsidRPr="000471B9">
              <w:t xml:space="preserve">, </w:t>
            </w:r>
            <w:proofErr w:type="spellStart"/>
            <w:r w:rsidR="000471B9" w:rsidRPr="000471B9">
              <w:t>Mitzubushi</w:t>
            </w:r>
            <w:proofErr w:type="spellEnd"/>
            <w:r w:rsidR="000471B9" w:rsidRPr="000471B9">
              <w:t xml:space="preserve"> y EPM evaluando variables objetivas sobre la Languidez para someterlas a un análisis factorial. Como resultados se espera encontrar hallazgos que evidencien la necesidad de un plan de detección temprana de la Languidez en los colaboradores de las grandes empresas y su efectiva aplicación del plan propuesto. Se concluye la efectividad del plan propuesto de detección temprana de la Languidez y la minimización del riesgo del padecimiento de este trastorno en los colaboradores de las organizaciones en Colombia.</w:t>
            </w:r>
          </w:p>
        </w:tc>
      </w:tr>
    </w:tbl>
    <w:p w14:paraId="41ECC7E9" w14:textId="77777777" w:rsidR="00D41657" w:rsidRDefault="00D41657" w:rsidP="003440DC">
      <w:pPr>
        <w:spacing w:line="240" w:lineRule="auto"/>
        <w:jc w:val="center"/>
        <w:rPr>
          <w:b/>
        </w:rPr>
      </w:pPr>
    </w:p>
    <w:tbl>
      <w:tblPr>
        <w:tblStyle w:val="Tablaconcuadrcula"/>
        <w:tblW w:w="0" w:type="auto"/>
        <w:tblLook w:val="04A0" w:firstRow="1" w:lastRow="0" w:firstColumn="1" w:lastColumn="0" w:noHBand="0" w:noVBand="1"/>
      </w:tblPr>
      <w:tblGrid>
        <w:gridCol w:w="8828"/>
      </w:tblGrid>
      <w:tr w:rsidR="00CA77E1" w14:paraId="1DE913C6" w14:textId="77777777" w:rsidTr="003276CE">
        <w:tc>
          <w:tcPr>
            <w:tcW w:w="12996" w:type="dxa"/>
          </w:tcPr>
          <w:p w14:paraId="33BE12EE" w14:textId="77777777" w:rsidR="00CA77E1" w:rsidRDefault="00CA77E1" w:rsidP="008D44A6">
            <w:pPr>
              <w:jc w:val="center"/>
              <w:rPr>
                <w:b/>
              </w:rPr>
            </w:pPr>
            <w:r>
              <w:rPr>
                <w:b/>
              </w:rPr>
              <w:t>Simposio 4</w:t>
            </w:r>
            <w:r w:rsidR="008D44A6">
              <w:rPr>
                <w:b/>
              </w:rPr>
              <w:t>D</w:t>
            </w:r>
            <w:r>
              <w:rPr>
                <w:b/>
              </w:rPr>
              <w:t xml:space="preserve">: </w:t>
            </w:r>
            <w:r w:rsidR="00787DF8">
              <w:rPr>
                <w:b/>
              </w:rPr>
              <w:t xml:space="preserve"> </w:t>
            </w:r>
            <w:r w:rsidR="008D44A6">
              <w:rPr>
                <w:b/>
              </w:rPr>
              <w:t>Dimensiones sociales y otras perspectivas del comportamiento en contextos de desarrollo</w:t>
            </w:r>
          </w:p>
        </w:tc>
      </w:tr>
      <w:tr w:rsidR="00CA77E1" w14:paraId="5C576092" w14:textId="77777777" w:rsidTr="003276CE">
        <w:tc>
          <w:tcPr>
            <w:tcW w:w="12996" w:type="dxa"/>
          </w:tcPr>
          <w:p w14:paraId="11A84835" w14:textId="77777777" w:rsidR="00B0455B" w:rsidRPr="00C56DD8" w:rsidRDefault="00B0455B" w:rsidP="00B0455B">
            <w:pPr>
              <w:jc w:val="center"/>
            </w:pPr>
            <w:r w:rsidRPr="00C56DD8">
              <w:t xml:space="preserve">Edward </w:t>
            </w:r>
            <w:proofErr w:type="spellStart"/>
            <w:r w:rsidRPr="00C56DD8">
              <w:t>Johnn</w:t>
            </w:r>
            <w:proofErr w:type="spellEnd"/>
            <w:r w:rsidRPr="00C56DD8">
              <w:t xml:space="preserve"> Silva Giraldo</w:t>
            </w:r>
          </w:p>
          <w:p w14:paraId="7FE6D258" w14:textId="77777777" w:rsidR="00B0455B" w:rsidRPr="00C56DD8" w:rsidRDefault="00B0455B" w:rsidP="00B0455B">
            <w:pPr>
              <w:jc w:val="center"/>
            </w:pPr>
            <w:r w:rsidRPr="00C56DD8">
              <w:t>Universidad Santo Tomás</w:t>
            </w:r>
          </w:p>
          <w:p w14:paraId="552089E8" w14:textId="77777777" w:rsidR="00CA77E1" w:rsidRDefault="00B0455B" w:rsidP="00B0455B">
            <w:pPr>
              <w:jc w:val="center"/>
              <w:rPr>
                <w:b/>
              </w:rPr>
            </w:pPr>
            <w:r w:rsidRPr="00C56DD8">
              <w:t>Perspectivas actuales de los cuidados de niños y niñas en familias migrantes. Una revisión de literatura</w:t>
            </w:r>
          </w:p>
        </w:tc>
      </w:tr>
      <w:tr w:rsidR="00CA77E1" w14:paraId="446632EE" w14:textId="77777777" w:rsidTr="003276CE">
        <w:tc>
          <w:tcPr>
            <w:tcW w:w="12996" w:type="dxa"/>
          </w:tcPr>
          <w:p w14:paraId="1F20B255" w14:textId="77777777" w:rsidR="00CA77E1" w:rsidRPr="006A362D" w:rsidRDefault="00CA77E1" w:rsidP="00B0455B">
            <w:pPr>
              <w:jc w:val="both"/>
            </w:pPr>
            <w:r w:rsidRPr="006A362D">
              <w:rPr>
                <w:b/>
              </w:rPr>
              <w:t>Resumen.</w:t>
            </w:r>
            <w:r w:rsidRPr="006A362D">
              <w:t xml:space="preserve"> </w:t>
            </w:r>
            <w:r w:rsidR="00B0455B">
              <w:t xml:space="preserve">El presente escrito de revisión de literatura analiza perspectivas actuales de los cuidados de niños y niñas en familias migrantes. Por ello, se propuso la siguiente pregunta orientadora ¿qué avances recientes existen en el estudio de los cuidados de niños y niñas en familias migrantes? Con este propósito, se desarrolló un proceso de revisión a partir de los cuatro componentes que señala el Framework SALSA: búsqueda, evaluación, análisis y síntesis. Inicialmente, en el motor de búsqueda de Google académico y la base de datos de </w:t>
            </w:r>
            <w:proofErr w:type="spellStart"/>
            <w:r w:rsidR="00B0455B">
              <w:t>Scopus</w:t>
            </w:r>
            <w:proofErr w:type="spellEnd"/>
            <w:r w:rsidR="00B0455B">
              <w:t>, se identificaron 98 documentos teniendo en cuenta una ventana de tiempo del año 2010 al 2021 y las palabras de la ecuación de búsqueda en los títulos de los artículos. Sin embargo, sólo se incluyeron para la revisión 44 artículos que correspondían a investigaciones empíricas. En el análisis se encontraron categorías tales como: los derechos humanos; la corresponsabilidad en la organización social de los cuidados; la organización de los cuidados en el lugar de origen y de acogida; la perspectiva de género y la participación de las mujeres en la organización de los cuidados; la participación de las abuelas; las tensiones y conflictos alrededor de los cuidados; y el papel de las redes sociales. "</w:t>
            </w:r>
          </w:p>
        </w:tc>
      </w:tr>
      <w:tr w:rsidR="009403D0" w14:paraId="26911976" w14:textId="77777777" w:rsidTr="003276CE">
        <w:tc>
          <w:tcPr>
            <w:tcW w:w="12996" w:type="dxa"/>
          </w:tcPr>
          <w:p w14:paraId="1FBCBC50" w14:textId="77777777" w:rsidR="009403D0" w:rsidRPr="006A362D" w:rsidRDefault="009403D0" w:rsidP="00B0455B">
            <w:pPr>
              <w:jc w:val="both"/>
              <w:rPr>
                <w:b/>
              </w:rPr>
            </w:pPr>
          </w:p>
        </w:tc>
      </w:tr>
      <w:tr w:rsidR="009403D0" w14:paraId="3712BDCC" w14:textId="77777777" w:rsidTr="003276CE">
        <w:tc>
          <w:tcPr>
            <w:tcW w:w="12996" w:type="dxa"/>
          </w:tcPr>
          <w:p w14:paraId="278A99E3" w14:textId="77777777" w:rsidR="00D04586" w:rsidRPr="00C56DD8" w:rsidRDefault="00D04586" w:rsidP="00D04586">
            <w:pPr>
              <w:jc w:val="center"/>
            </w:pPr>
            <w:r w:rsidRPr="00C56DD8">
              <w:t>Fabián Herrera Morales</w:t>
            </w:r>
          </w:p>
          <w:p w14:paraId="0B3E6106" w14:textId="77777777" w:rsidR="00D04586" w:rsidRPr="00C56DD8" w:rsidRDefault="00D04586" w:rsidP="00D04586">
            <w:pPr>
              <w:jc w:val="center"/>
            </w:pPr>
            <w:r w:rsidRPr="00C56DD8">
              <w:t>Universidad de San Buenaventura de Cali</w:t>
            </w:r>
          </w:p>
          <w:p w14:paraId="731CE88F" w14:textId="77777777" w:rsidR="009403D0" w:rsidRPr="006A362D" w:rsidRDefault="00D04586" w:rsidP="00D04586">
            <w:pPr>
              <w:jc w:val="center"/>
              <w:rPr>
                <w:b/>
              </w:rPr>
            </w:pPr>
            <w:r w:rsidRPr="00C56DD8">
              <w:t>Los hogares unipersonales en tiempos de crisis:  Perspectivas sobre su calidad de vida</w:t>
            </w:r>
          </w:p>
        </w:tc>
      </w:tr>
      <w:tr w:rsidR="009403D0" w14:paraId="3CACA0EF" w14:textId="77777777" w:rsidTr="003276CE">
        <w:tc>
          <w:tcPr>
            <w:tcW w:w="12996" w:type="dxa"/>
          </w:tcPr>
          <w:p w14:paraId="6507FAB9" w14:textId="77777777" w:rsidR="002E2185" w:rsidRPr="002E2185" w:rsidRDefault="009403D0" w:rsidP="002E2185">
            <w:pPr>
              <w:jc w:val="both"/>
            </w:pPr>
            <w:r>
              <w:rPr>
                <w:b/>
              </w:rPr>
              <w:t xml:space="preserve">Resumen. </w:t>
            </w:r>
            <w:r w:rsidR="002E2185" w:rsidRPr="002E2185">
              <w:t xml:space="preserve">Colombia, y en general, Latinoamérica, atraviesa en la actualidad por profundos cambios poblacionales manifiestos no solo en la transición demográfica, sino en la composición de las familias, cada vez con menos integrantes. Contexto que expresa su atención particular en el auge de los hogares unipersonales, cuyo crecimiento despierta interés por la comprensión de su calidad de vida. La presente ponencia corresponde al estado del arte del proyecto de investigación doctoral en psicología. El objetivo del apartado en mención es identificar las implicaciones de los riesgos mundiales </w:t>
            </w:r>
            <w:r w:rsidR="002E2185" w:rsidRPr="002E2185">
              <w:lastRenderedPageBreak/>
              <w:t xml:space="preserve">en el bienestar subjetivo de quienes residen solos. Se partirá de la tesis de que los hogares unipersonales no solo son producto de una decisión autónoma sino circunstancial, lo que complejiza la realidad de sus concepciones sobre calidad de vida. El trabajo de investigación busca plantearse mediante el método biográfico-narrativo con enfoque hermenéutico. Teóricamente se sustentará desde la sociología del riesgo y la psicología de la globalización, con el fin de generar una reflexión sobre los procesos de individualización contemporánea, y los desafíos del bienestar en una época de vicisitudes. </w:t>
            </w:r>
          </w:p>
          <w:p w14:paraId="7E2A6D36" w14:textId="77777777" w:rsidR="009403D0" w:rsidRPr="006A362D" w:rsidRDefault="002E2185" w:rsidP="002E2185">
            <w:pPr>
              <w:jc w:val="both"/>
              <w:rPr>
                <w:b/>
              </w:rPr>
            </w:pPr>
            <w:r w:rsidRPr="002E2185">
              <w:t>Palabras clave: Hogares unipersonales, individualización, riesgos globales, calidad de vida.</w:t>
            </w:r>
            <w:r w:rsidRPr="002E2185">
              <w:rPr>
                <w:b/>
              </w:rPr>
              <w:t xml:space="preserve">  </w:t>
            </w:r>
          </w:p>
        </w:tc>
      </w:tr>
      <w:tr w:rsidR="0005425E" w14:paraId="2C579ACF" w14:textId="77777777" w:rsidTr="003276CE">
        <w:tc>
          <w:tcPr>
            <w:tcW w:w="12996" w:type="dxa"/>
          </w:tcPr>
          <w:p w14:paraId="45A6D574" w14:textId="77777777" w:rsidR="0005425E" w:rsidRDefault="0005425E" w:rsidP="002E2185">
            <w:pPr>
              <w:jc w:val="both"/>
              <w:rPr>
                <w:b/>
              </w:rPr>
            </w:pPr>
          </w:p>
        </w:tc>
      </w:tr>
      <w:tr w:rsidR="0005425E" w14:paraId="78AC0EE9" w14:textId="77777777" w:rsidTr="003276CE">
        <w:tc>
          <w:tcPr>
            <w:tcW w:w="12996" w:type="dxa"/>
          </w:tcPr>
          <w:p w14:paraId="37DABE9B" w14:textId="77777777" w:rsidR="0094032D" w:rsidRPr="00DA1224" w:rsidRDefault="0094032D" w:rsidP="0094032D">
            <w:pPr>
              <w:jc w:val="center"/>
            </w:pPr>
            <w:r w:rsidRPr="00DA1224">
              <w:t xml:space="preserve">Claudia Isabel Brieva Rico </w:t>
            </w:r>
          </w:p>
          <w:p w14:paraId="5DCF1E1E" w14:textId="77777777" w:rsidR="0094032D" w:rsidRPr="00DA1224" w:rsidRDefault="0094032D" w:rsidP="0094032D">
            <w:pPr>
              <w:jc w:val="center"/>
            </w:pPr>
            <w:r w:rsidRPr="00DA1224">
              <w:t>Universidad Nacional de Colombia</w:t>
            </w:r>
            <w:r w:rsidRPr="00DA1224">
              <w:tab/>
            </w:r>
          </w:p>
          <w:p w14:paraId="6DC34E9F" w14:textId="77777777" w:rsidR="0005425E" w:rsidRDefault="0094032D" w:rsidP="0094032D">
            <w:pPr>
              <w:jc w:val="center"/>
              <w:rPr>
                <w:b/>
              </w:rPr>
            </w:pPr>
            <w:r w:rsidRPr="00DA1224">
              <w:t>Interacción con el humano en el proceso de rehabilitación comportamental de loras del género Amazona</w:t>
            </w:r>
          </w:p>
        </w:tc>
      </w:tr>
      <w:tr w:rsidR="0005425E" w14:paraId="51004818" w14:textId="77777777" w:rsidTr="003276CE">
        <w:tc>
          <w:tcPr>
            <w:tcW w:w="12996" w:type="dxa"/>
          </w:tcPr>
          <w:p w14:paraId="7BC5093C" w14:textId="77777777" w:rsidR="0094032D" w:rsidRDefault="0094032D" w:rsidP="000A6C91">
            <w:pPr>
              <w:jc w:val="both"/>
              <w:rPr>
                <w:b/>
              </w:rPr>
            </w:pPr>
            <w:r>
              <w:rPr>
                <w:b/>
              </w:rPr>
              <w:t xml:space="preserve">Resumen. </w:t>
            </w:r>
            <w:r w:rsidR="000A6C91" w:rsidRPr="000A6C91">
              <w:t>La normatividad colombiana prohíbe la comercialización de animales silvestres, y determina que deben ser decomisados para luego decidir su destino final. Entre las aves más traficadas ilegalmente están las loras, y su posible destino es la rehabilitación y posterior liberación, encontrando que uno de los problemas que presentan es el acostumbramiento a los seres humanos, lo que impide que se reincorporen con éxito a las poblaciones naturales. Esta investigación pretende profundizar en el comportamiento de las loras del género Amazona, mediante el diseño de instrumentos para la evaluación del acostumbramiento al humano, como un indicador de su rehabilitación futura.</w:t>
            </w:r>
          </w:p>
        </w:tc>
      </w:tr>
      <w:tr w:rsidR="003635C0" w14:paraId="6837284F" w14:textId="77777777" w:rsidTr="003276CE">
        <w:tc>
          <w:tcPr>
            <w:tcW w:w="12996" w:type="dxa"/>
          </w:tcPr>
          <w:p w14:paraId="12DA9FF5" w14:textId="77777777" w:rsidR="003635C0" w:rsidRDefault="003635C0" w:rsidP="000A6C91">
            <w:pPr>
              <w:jc w:val="both"/>
              <w:rPr>
                <w:b/>
              </w:rPr>
            </w:pPr>
          </w:p>
        </w:tc>
      </w:tr>
      <w:tr w:rsidR="003635C0" w14:paraId="1432E0A9" w14:textId="77777777" w:rsidTr="003276CE">
        <w:tc>
          <w:tcPr>
            <w:tcW w:w="12996" w:type="dxa"/>
          </w:tcPr>
          <w:p w14:paraId="27124248" w14:textId="77777777" w:rsidR="003635C0" w:rsidRPr="00B56253" w:rsidRDefault="00B56253" w:rsidP="00B56253">
            <w:pPr>
              <w:jc w:val="center"/>
            </w:pPr>
            <w:r w:rsidRPr="00B56253">
              <w:t>Marcela Duarte Herrera</w:t>
            </w:r>
          </w:p>
          <w:p w14:paraId="028586FF" w14:textId="77777777" w:rsidR="00B56253" w:rsidRPr="00B56253" w:rsidRDefault="00B56253" w:rsidP="00B56253">
            <w:pPr>
              <w:jc w:val="center"/>
            </w:pPr>
            <w:r w:rsidRPr="00B56253">
              <w:t>Universidad del Valle</w:t>
            </w:r>
          </w:p>
          <w:p w14:paraId="57989903" w14:textId="77777777" w:rsidR="00B56253" w:rsidRDefault="00B56253" w:rsidP="00B56253">
            <w:pPr>
              <w:jc w:val="center"/>
              <w:rPr>
                <w:b/>
              </w:rPr>
            </w:pPr>
            <w:r w:rsidRPr="00B56253">
              <w:t xml:space="preserve">Políticas </w:t>
            </w:r>
            <w:r w:rsidR="00E0783E">
              <w:t>institucionales de universidades colombianas de acceso, p</w:t>
            </w:r>
            <w:r w:rsidRPr="00B56253">
              <w:t xml:space="preserve">ermanencia y </w:t>
            </w:r>
            <w:r w:rsidR="00E0783E">
              <w:t>graduación sobre d</w:t>
            </w:r>
            <w:r w:rsidRPr="00B56253">
              <w:t>iscapacidad</w:t>
            </w:r>
          </w:p>
        </w:tc>
      </w:tr>
      <w:tr w:rsidR="003635C0" w14:paraId="29EC16E6" w14:textId="77777777" w:rsidTr="003276CE">
        <w:tc>
          <w:tcPr>
            <w:tcW w:w="12996" w:type="dxa"/>
          </w:tcPr>
          <w:p w14:paraId="7EE17255" w14:textId="77777777" w:rsidR="00E0783E" w:rsidRPr="00E0783E" w:rsidRDefault="003635C0" w:rsidP="00E0783E">
            <w:pPr>
              <w:jc w:val="both"/>
            </w:pPr>
            <w:r w:rsidRPr="00E0783E">
              <w:t xml:space="preserve">Resumen. </w:t>
            </w:r>
            <w:r w:rsidR="00E0783E" w:rsidRPr="00E0783E">
              <w:t>El trabajo de investigación presentado a continuación, busca dar cuenta de la visión de sujeto presente en las políticas institucionales de seis (6) universidades privadas y cinco (5) universidades públicas colombianas, en cuanto a acceso, permanencia y graduación de personas en situación de discapacidad. Lo anterior, representa una posibilidad de reflexión y cuestionamiento sobre los discursos sociales en las categorías de subjetividad, derechos, socialización y aprendizaje, que ponen en juego las mediaciones realizadas por las universidades para responder a los proyectos de vida de sus estudiantes, así como los ejercicios de poder y ciudadanía asociados a la discapacidad. Derivado de este proceso, se espera cuestionar el papel de saber-poder de las Instituciones y los Estados para brindar educación que pueda mediar las diversas subjetividades que emergen del agenciamiento colectivo de la discapacidad.</w:t>
            </w:r>
          </w:p>
        </w:tc>
      </w:tr>
    </w:tbl>
    <w:p w14:paraId="61373E4F" w14:textId="77777777" w:rsidR="00D27763" w:rsidRDefault="00D27763" w:rsidP="003440DC">
      <w:pPr>
        <w:spacing w:line="240" w:lineRule="auto"/>
        <w:jc w:val="center"/>
        <w:rPr>
          <w:b/>
        </w:rPr>
      </w:pPr>
    </w:p>
    <w:p w14:paraId="1F5E44DA" w14:textId="77777777" w:rsidR="00D27763" w:rsidRDefault="00E03F50" w:rsidP="003440DC">
      <w:pPr>
        <w:spacing w:line="240" w:lineRule="auto"/>
        <w:jc w:val="center"/>
        <w:rPr>
          <w:b/>
        </w:rPr>
      </w:pPr>
      <w:r>
        <w:rPr>
          <w:b/>
        </w:rPr>
        <w:t xml:space="preserve">Sede del X Encuentro de Doctorados en Psicología </w:t>
      </w:r>
    </w:p>
    <w:p w14:paraId="7E84251A" w14:textId="77777777" w:rsidR="003440DC" w:rsidRPr="007477D1" w:rsidRDefault="00E03F50" w:rsidP="003440DC">
      <w:pPr>
        <w:spacing w:line="240" w:lineRule="auto"/>
        <w:jc w:val="center"/>
        <w:rPr>
          <w:b/>
        </w:rPr>
      </w:pPr>
      <w:r>
        <w:rPr>
          <w:b/>
        </w:rPr>
        <w:t>(Por definir.)</w:t>
      </w:r>
    </w:p>
    <w:sectPr w:rsidR="003440DC" w:rsidRPr="007477D1" w:rsidSect="00A04F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EE"/>
    <w:rsid w:val="000179F2"/>
    <w:rsid w:val="00031BC9"/>
    <w:rsid w:val="00043174"/>
    <w:rsid w:val="0004544C"/>
    <w:rsid w:val="000471B9"/>
    <w:rsid w:val="0005425E"/>
    <w:rsid w:val="000555DE"/>
    <w:rsid w:val="00096F3C"/>
    <w:rsid w:val="000A6C91"/>
    <w:rsid w:val="000C19B3"/>
    <w:rsid w:val="000C2D5C"/>
    <w:rsid w:val="000C75C9"/>
    <w:rsid w:val="000D3937"/>
    <w:rsid w:val="000D7649"/>
    <w:rsid w:val="000D7AF6"/>
    <w:rsid w:val="000E14F1"/>
    <w:rsid w:val="000F7058"/>
    <w:rsid w:val="00105A12"/>
    <w:rsid w:val="00121B1D"/>
    <w:rsid w:val="0013550C"/>
    <w:rsid w:val="00151DD9"/>
    <w:rsid w:val="0015447D"/>
    <w:rsid w:val="0015695E"/>
    <w:rsid w:val="00172661"/>
    <w:rsid w:val="00186BD0"/>
    <w:rsid w:val="001A032E"/>
    <w:rsid w:val="001B2CF5"/>
    <w:rsid w:val="001B4A34"/>
    <w:rsid w:val="001E3114"/>
    <w:rsid w:val="00206AEE"/>
    <w:rsid w:val="00220650"/>
    <w:rsid w:val="00237FFE"/>
    <w:rsid w:val="002553EE"/>
    <w:rsid w:val="002568D8"/>
    <w:rsid w:val="00272022"/>
    <w:rsid w:val="002739D5"/>
    <w:rsid w:val="00290967"/>
    <w:rsid w:val="002B7897"/>
    <w:rsid w:val="002C0ADF"/>
    <w:rsid w:val="002C5BE3"/>
    <w:rsid w:val="002E2185"/>
    <w:rsid w:val="003200DA"/>
    <w:rsid w:val="00320525"/>
    <w:rsid w:val="003239AA"/>
    <w:rsid w:val="003440DC"/>
    <w:rsid w:val="003635C0"/>
    <w:rsid w:val="00383C0F"/>
    <w:rsid w:val="003844DE"/>
    <w:rsid w:val="003B4495"/>
    <w:rsid w:val="003E39C8"/>
    <w:rsid w:val="003F08F8"/>
    <w:rsid w:val="004142F5"/>
    <w:rsid w:val="0042377A"/>
    <w:rsid w:val="00427741"/>
    <w:rsid w:val="004426D7"/>
    <w:rsid w:val="004A3B97"/>
    <w:rsid w:val="004A65BD"/>
    <w:rsid w:val="004B4D39"/>
    <w:rsid w:val="00514746"/>
    <w:rsid w:val="00514D64"/>
    <w:rsid w:val="00523100"/>
    <w:rsid w:val="00523726"/>
    <w:rsid w:val="0053496C"/>
    <w:rsid w:val="00537149"/>
    <w:rsid w:val="00542EC1"/>
    <w:rsid w:val="005539AB"/>
    <w:rsid w:val="00562E2A"/>
    <w:rsid w:val="005640E5"/>
    <w:rsid w:val="00566AFC"/>
    <w:rsid w:val="00567781"/>
    <w:rsid w:val="00567C54"/>
    <w:rsid w:val="00572263"/>
    <w:rsid w:val="005A6F45"/>
    <w:rsid w:val="005B0E03"/>
    <w:rsid w:val="005C7A92"/>
    <w:rsid w:val="005D79D2"/>
    <w:rsid w:val="005E56E3"/>
    <w:rsid w:val="005E7E05"/>
    <w:rsid w:val="00604081"/>
    <w:rsid w:val="00637699"/>
    <w:rsid w:val="00640723"/>
    <w:rsid w:val="00645018"/>
    <w:rsid w:val="006501DB"/>
    <w:rsid w:val="00686D57"/>
    <w:rsid w:val="006A362D"/>
    <w:rsid w:val="006A63B1"/>
    <w:rsid w:val="006F6D15"/>
    <w:rsid w:val="0070288A"/>
    <w:rsid w:val="00704D19"/>
    <w:rsid w:val="00725C35"/>
    <w:rsid w:val="0074065B"/>
    <w:rsid w:val="007477D1"/>
    <w:rsid w:val="00752D27"/>
    <w:rsid w:val="007600FD"/>
    <w:rsid w:val="007767E9"/>
    <w:rsid w:val="00782367"/>
    <w:rsid w:val="00787DF8"/>
    <w:rsid w:val="007A2D18"/>
    <w:rsid w:val="007C13B7"/>
    <w:rsid w:val="007C3706"/>
    <w:rsid w:val="007D30B0"/>
    <w:rsid w:val="007E585B"/>
    <w:rsid w:val="007E6864"/>
    <w:rsid w:val="007F35F2"/>
    <w:rsid w:val="007F3E90"/>
    <w:rsid w:val="008055CE"/>
    <w:rsid w:val="00826169"/>
    <w:rsid w:val="00841BF3"/>
    <w:rsid w:val="00847ABE"/>
    <w:rsid w:val="00854EF6"/>
    <w:rsid w:val="008819B9"/>
    <w:rsid w:val="008916B1"/>
    <w:rsid w:val="00891A87"/>
    <w:rsid w:val="008A1D62"/>
    <w:rsid w:val="008A2EDA"/>
    <w:rsid w:val="008B1573"/>
    <w:rsid w:val="008B48DB"/>
    <w:rsid w:val="008C2D53"/>
    <w:rsid w:val="008C53EE"/>
    <w:rsid w:val="008D44A6"/>
    <w:rsid w:val="008E1D22"/>
    <w:rsid w:val="008F23DF"/>
    <w:rsid w:val="008F6575"/>
    <w:rsid w:val="0092575A"/>
    <w:rsid w:val="0094032D"/>
    <w:rsid w:val="009403D0"/>
    <w:rsid w:val="00944E14"/>
    <w:rsid w:val="009704B4"/>
    <w:rsid w:val="009823B2"/>
    <w:rsid w:val="00992A4F"/>
    <w:rsid w:val="009B0D07"/>
    <w:rsid w:val="009D39CD"/>
    <w:rsid w:val="00A0422A"/>
    <w:rsid w:val="00A04F14"/>
    <w:rsid w:val="00A172F8"/>
    <w:rsid w:val="00A23424"/>
    <w:rsid w:val="00A548A5"/>
    <w:rsid w:val="00A63230"/>
    <w:rsid w:val="00AA02F4"/>
    <w:rsid w:val="00AA280C"/>
    <w:rsid w:val="00AA39AA"/>
    <w:rsid w:val="00AA69B4"/>
    <w:rsid w:val="00AB4565"/>
    <w:rsid w:val="00AC3C15"/>
    <w:rsid w:val="00AE214D"/>
    <w:rsid w:val="00AE65D0"/>
    <w:rsid w:val="00AF2A54"/>
    <w:rsid w:val="00AF30F1"/>
    <w:rsid w:val="00AF5FC7"/>
    <w:rsid w:val="00B0455B"/>
    <w:rsid w:val="00B119A1"/>
    <w:rsid w:val="00B261A9"/>
    <w:rsid w:val="00B53326"/>
    <w:rsid w:val="00B56253"/>
    <w:rsid w:val="00B65B6B"/>
    <w:rsid w:val="00B82BD0"/>
    <w:rsid w:val="00BA0D5D"/>
    <w:rsid w:val="00BD0969"/>
    <w:rsid w:val="00C05234"/>
    <w:rsid w:val="00C056E7"/>
    <w:rsid w:val="00C05FFA"/>
    <w:rsid w:val="00C16AF2"/>
    <w:rsid w:val="00C22C73"/>
    <w:rsid w:val="00C53FDB"/>
    <w:rsid w:val="00C54205"/>
    <w:rsid w:val="00C56DD8"/>
    <w:rsid w:val="00C6101C"/>
    <w:rsid w:val="00C64E46"/>
    <w:rsid w:val="00C91824"/>
    <w:rsid w:val="00CA77E1"/>
    <w:rsid w:val="00CB04F0"/>
    <w:rsid w:val="00CC235D"/>
    <w:rsid w:val="00CD58EC"/>
    <w:rsid w:val="00D04586"/>
    <w:rsid w:val="00D13FFF"/>
    <w:rsid w:val="00D22DDC"/>
    <w:rsid w:val="00D27763"/>
    <w:rsid w:val="00D32F71"/>
    <w:rsid w:val="00D41657"/>
    <w:rsid w:val="00D524B6"/>
    <w:rsid w:val="00D864ED"/>
    <w:rsid w:val="00D86A7A"/>
    <w:rsid w:val="00DA1224"/>
    <w:rsid w:val="00DB0B4D"/>
    <w:rsid w:val="00DB1706"/>
    <w:rsid w:val="00E03F50"/>
    <w:rsid w:val="00E05EED"/>
    <w:rsid w:val="00E06FD6"/>
    <w:rsid w:val="00E0783E"/>
    <w:rsid w:val="00E23DD7"/>
    <w:rsid w:val="00E52B48"/>
    <w:rsid w:val="00E5735D"/>
    <w:rsid w:val="00E61B87"/>
    <w:rsid w:val="00E864AE"/>
    <w:rsid w:val="00EB3016"/>
    <w:rsid w:val="00EE45FA"/>
    <w:rsid w:val="00EE5895"/>
    <w:rsid w:val="00F100B2"/>
    <w:rsid w:val="00F132B3"/>
    <w:rsid w:val="00F15A24"/>
    <w:rsid w:val="00F2158E"/>
    <w:rsid w:val="00F3191C"/>
    <w:rsid w:val="00F350BA"/>
    <w:rsid w:val="00F53EF1"/>
    <w:rsid w:val="00F63525"/>
    <w:rsid w:val="00F64F50"/>
    <w:rsid w:val="00F71E42"/>
    <w:rsid w:val="00F803C1"/>
    <w:rsid w:val="00FB15C7"/>
    <w:rsid w:val="00FC6068"/>
    <w:rsid w:val="00FF6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C060"/>
  <w15:chartTrackingRefBased/>
  <w15:docId w15:val="{873FE6EA-4F2C-4456-B494-3A1B5A4D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77D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7006">
      <w:bodyDiv w:val="1"/>
      <w:marLeft w:val="0"/>
      <w:marRight w:val="0"/>
      <w:marTop w:val="0"/>
      <w:marBottom w:val="0"/>
      <w:divBdr>
        <w:top w:val="none" w:sz="0" w:space="0" w:color="auto"/>
        <w:left w:val="none" w:sz="0" w:space="0" w:color="auto"/>
        <w:bottom w:val="none" w:sz="0" w:space="0" w:color="auto"/>
        <w:right w:val="none" w:sz="0" w:space="0" w:color="auto"/>
      </w:divBdr>
    </w:div>
    <w:div w:id="584799013">
      <w:bodyDiv w:val="1"/>
      <w:marLeft w:val="0"/>
      <w:marRight w:val="0"/>
      <w:marTop w:val="0"/>
      <w:marBottom w:val="0"/>
      <w:divBdr>
        <w:top w:val="none" w:sz="0" w:space="0" w:color="auto"/>
        <w:left w:val="none" w:sz="0" w:space="0" w:color="auto"/>
        <w:bottom w:val="none" w:sz="0" w:space="0" w:color="auto"/>
        <w:right w:val="none" w:sz="0" w:space="0" w:color="auto"/>
      </w:divBdr>
    </w:div>
    <w:div w:id="18978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D7EC-9368-4E83-A556-151AA413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10373</Words>
  <Characters>57055</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Evaluador</dc:creator>
  <cp:keywords/>
  <dc:description/>
  <cp:lastModifiedBy>Astrid Triana Cifuentes</cp:lastModifiedBy>
  <cp:revision>3</cp:revision>
  <cp:lastPrinted>2022-03-12T15:50:00Z</cp:lastPrinted>
  <dcterms:created xsi:type="dcterms:W3CDTF">2022-06-30T23:09:00Z</dcterms:created>
  <dcterms:modified xsi:type="dcterms:W3CDTF">2022-06-30T23:11:00Z</dcterms:modified>
</cp:coreProperties>
</file>